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D4" w:rsidRDefault="00F107D4" w:rsidP="00634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b/>
          <w:sz w:val="24"/>
          <w:szCs w:val="24"/>
          <w:lang w:val="sq-AL"/>
        </w:rPr>
        <w:t>RELACION</w:t>
      </w:r>
    </w:p>
    <w:p w:rsidR="00E24341" w:rsidRPr="00181833" w:rsidRDefault="00E24341" w:rsidP="00634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107D4" w:rsidRPr="00181833" w:rsidRDefault="00F107D4" w:rsidP="00634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</w:p>
    <w:p w:rsidR="00F107D4" w:rsidRDefault="00F107D4" w:rsidP="00634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b/>
          <w:sz w:val="24"/>
          <w:szCs w:val="24"/>
          <w:lang w:val="sq-AL"/>
        </w:rPr>
        <w:t>PROJEKTLIGJIN</w:t>
      </w:r>
    </w:p>
    <w:p w:rsidR="00E24341" w:rsidRPr="00181833" w:rsidRDefault="00E24341" w:rsidP="00634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107D4" w:rsidRDefault="00F107D4" w:rsidP="006348D5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181833">
        <w:rPr>
          <w:b/>
        </w:rPr>
        <w:t xml:space="preserve">“PËR </w:t>
      </w:r>
      <w:r w:rsidRPr="00181833">
        <w:rPr>
          <w:b/>
          <w:bCs/>
        </w:rPr>
        <w:t>ORGANIZIMIN DHE FUNKSIONIMIN E GRUPEVE VENDORE T</w:t>
      </w:r>
      <w:r w:rsidR="00D4734C" w:rsidRPr="00181833">
        <w:rPr>
          <w:b/>
          <w:bCs/>
        </w:rPr>
        <w:t>Ë</w:t>
      </w:r>
      <w:r w:rsidRPr="00181833">
        <w:rPr>
          <w:b/>
          <w:bCs/>
        </w:rPr>
        <w:t xml:space="preserve"> VEPRIMIT</w:t>
      </w:r>
      <w:r w:rsidRPr="00181833">
        <w:rPr>
          <w:b/>
        </w:rPr>
        <w:t>”</w:t>
      </w:r>
    </w:p>
    <w:p w:rsidR="006348D5" w:rsidRDefault="006348D5" w:rsidP="006348D5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E24341" w:rsidRPr="00181833" w:rsidRDefault="00E24341" w:rsidP="006348D5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6348D5" w:rsidRDefault="00F107D4" w:rsidP="00181833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b/>
          <w:sz w:val="24"/>
          <w:szCs w:val="24"/>
          <w:lang w:val="sq-AL"/>
        </w:rPr>
        <w:t xml:space="preserve">QËLLIMI I PROJEKTLIGJIT DHE OBJEKTIVAT QË SYNOHEN TË </w:t>
      </w:r>
      <w:r w:rsidR="006348D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F107D4" w:rsidRDefault="006348D5" w:rsidP="006348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</w:t>
      </w:r>
      <w:r w:rsidR="00F107D4" w:rsidRPr="00181833">
        <w:rPr>
          <w:rFonts w:ascii="Times New Roman" w:hAnsi="Times New Roman" w:cs="Times New Roman"/>
          <w:b/>
          <w:sz w:val="24"/>
          <w:szCs w:val="24"/>
          <w:lang w:val="sq-AL"/>
        </w:rPr>
        <w:t>ARRIHEN</w:t>
      </w:r>
    </w:p>
    <w:p w:rsidR="006348D5" w:rsidRPr="00181833" w:rsidRDefault="006348D5" w:rsidP="006348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E2FD4" w:rsidRPr="00181833" w:rsidRDefault="00F107D4" w:rsidP="006348D5">
      <w:pPr>
        <w:pStyle w:val="Kzepesrcs12jellszn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81833">
        <w:rPr>
          <w:rFonts w:ascii="Times New Roman" w:hAnsi="Times New Roman"/>
          <w:sz w:val="24"/>
          <w:szCs w:val="24"/>
        </w:rPr>
        <w:t xml:space="preserve">Ky ligj ka për qëllim </w:t>
      </w:r>
      <w:r w:rsidR="005F6EA4" w:rsidRPr="00181833">
        <w:rPr>
          <w:rFonts w:ascii="Times New Roman" w:hAnsi="Times New Roman"/>
          <w:sz w:val="24"/>
          <w:szCs w:val="24"/>
        </w:rPr>
        <w:t>zbatimin e qasjes s</w:t>
      </w:r>
      <w:r w:rsidR="00B8177E" w:rsidRPr="00181833">
        <w:rPr>
          <w:rFonts w:ascii="Times New Roman" w:hAnsi="Times New Roman"/>
          <w:sz w:val="24"/>
          <w:szCs w:val="24"/>
        </w:rPr>
        <w:t>ë</w:t>
      </w:r>
      <w:r w:rsidR="005F6EA4" w:rsidRPr="00181833">
        <w:rPr>
          <w:rFonts w:ascii="Times New Roman" w:hAnsi="Times New Roman"/>
          <w:sz w:val="24"/>
          <w:szCs w:val="24"/>
        </w:rPr>
        <w:t xml:space="preserve"> BE-s</w:t>
      </w:r>
      <w:r w:rsidR="00B8177E" w:rsidRPr="00181833">
        <w:rPr>
          <w:rFonts w:ascii="Times New Roman" w:hAnsi="Times New Roman"/>
          <w:sz w:val="24"/>
          <w:szCs w:val="24"/>
        </w:rPr>
        <w:t>ë</w:t>
      </w:r>
      <w:r w:rsidR="005F6EA4" w:rsidRPr="00181833">
        <w:rPr>
          <w:rFonts w:ascii="Times New Roman" w:hAnsi="Times New Roman"/>
          <w:sz w:val="24"/>
          <w:szCs w:val="24"/>
        </w:rPr>
        <w:t xml:space="preserve"> p</w:t>
      </w:r>
      <w:r w:rsidR="00B8177E" w:rsidRPr="00181833">
        <w:rPr>
          <w:rFonts w:ascii="Times New Roman" w:hAnsi="Times New Roman"/>
          <w:sz w:val="24"/>
          <w:szCs w:val="24"/>
        </w:rPr>
        <w:t>ë</w:t>
      </w:r>
      <w:r w:rsidR="005F6EA4" w:rsidRPr="00181833">
        <w:rPr>
          <w:rFonts w:ascii="Times New Roman" w:hAnsi="Times New Roman"/>
          <w:sz w:val="24"/>
          <w:szCs w:val="24"/>
        </w:rPr>
        <w:t>r zhvillimin rural me pjes</w:t>
      </w:r>
      <w:r w:rsidR="00B8177E" w:rsidRPr="00181833">
        <w:rPr>
          <w:rFonts w:ascii="Times New Roman" w:hAnsi="Times New Roman"/>
          <w:sz w:val="24"/>
          <w:szCs w:val="24"/>
        </w:rPr>
        <w:t>ë</w:t>
      </w:r>
      <w:r w:rsidR="005F6EA4" w:rsidRPr="00181833">
        <w:rPr>
          <w:rFonts w:ascii="Times New Roman" w:hAnsi="Times New Roman"/>
          <w:sz w:val="24"/>
          <w:szCs w:val="24"/>
        </w:rPr>
        <w:t>marrje (qasja LEADER) n</w:t>
      </w:r>
      <w:r w:rsidR="00B8177E" w:rsidRPr="00181833">
        <w:rPr>
          <w:rFonts w:ascii="Times New Roman" w:hAnsi="Times New Roman"/>
          <w:sz w:val="24"/>
          <w:szCs w:val="24"/>
        </w:rPr>
        <w:t>ë</w:t>
      </w:r>
      <w:r w:rsidR="005F6EA4" w:rsidRPr="00181833">
        <w:rPr>
          <w:rFonts w:ascii="Times New Roman" w:hAnsi="Times New Roman"/>
          <w:sz w:val="24"/>
          <w:szCs w:val="24"/>
        </w:rPr>
        <w:t>p</w:t>
      </w:r>
      <w:r w:rsidR="00B8177E" w:rsidRPr="00181833">
        <w:rPr>
          <w:rFonts w:ascii="Times New Roman" w:hAnsi="Times New Roman"/>
          <w:sz w:val="24"/>
          <w:szCs w:val="24"/>
        </w:rPr>
        <w:t>ë</w:t>
      </w:r>
      <w:r w:rsidR="005F6EA4" w:rsidRPr="00181833">
        <w:rPr>
          <w:rFonts w:ascii="Times New Roman" w:hAnsi="Times New Roman"/>
          <w:sz w:val="24"/>
          <w:szCs w:val="24"/>
        </w:rPr>
        <w:t>rmjet p</w:t>
      </w:r>
      <w:r w:rsidR="00B8177E" w:rsidRPr="00181833">
        <w:rPr>
          <w:rFonts w:ascii="Times New Roman" w:hAnsi="Times New Roman"/>
          <w:sz w:val="24"/>
          <w:szCs w:val="24"/>
        </w:rPr>
        <w:t>ë</w:t>
      </w:r>
      <w:r w:rsidR="005F6EA4" w:rsidRPr="00181833">
        <w:rPr>
          <w:rFonts w:ascii="Times New Roman" w:hAnsi="Times New Roman"/>
          <w:sz w:val="24"/>
          <w:szCs w:val="24"/>
        </w:rPr>
        <w:t>rcaktimit t</w:t>
      </w:r>
      <w:r w:rsidR="00B8177E" w:rsidRPr="00181833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 xml:space="preserve"> parakushteve</w:t>
      </w:r>
      <w:r w:rsidR="001027B0" w:rsidRPr="00181833">
        <w:rPr>
          <w:rFonts w:ascii="Times New Roman" w:hAnsi="Times New Roman"/>
          <w:sz w:val="24"/>
          <w:szCs w:val="24"/>
        </w:rPr>
        <w:t>,</w:t>
      </w:r>
      <w:r w:rsidRPr="00181833">
        <w:rPr>
          <w:rFonts w:ascii="Times New Roman" w:hAnsi="Times New Roman"/>
          <w:sz w:val="24"/>
          <w:szCs w:val="24"/>
        </w:rPr>
        <w:t xml:space="preserve"> për krijimin dhe funksionimin e Grupeve Vendore të Veprimit</w:t>
      </w:r>
      <w:r w:rsidR="00900A89" w:rsidRPr="00181833">
        <w:rPr>
          <w:rFonts w:ascii="Times New Roman" w:hAnsi="Times New Roman"/>
          <w:sz w:val="24"/>
          <w:szCs w:val="24"/>
        </w:rPr>
        <w:t xml:space="preserve"> </w:t>
      </w:r>
      <w:r w:rsidR="005F6EA4" w:rsidRPr="00181833">
        <w:rPr>
          <w:rFonts w:ascii="Times New Roman" w:hAnsi="Times New Roman"/>
          <w:sz w:val="24"/>
          <w:szCs w:val="24"/>
        </w:rPr>
        <w:t>(GVV)</w:t>
      </w:r>
      <w:r w:rsidRPr="00181833">
        <w:rPr>
          <w:rFonts w:ascii="Times New Roman" w:hAnsi="Times New Roman"/>
          <w:sz w:val="24"/>
          <w:szCs w:val="24"/>
        </w:rPr>
        <w:t xml:space="preserve"> të cilët do të mundësojnë, përmes partneritetit lokal dhe metodës nga poshtë-lart, përfshirjen e komuniteteve lokale në identifikimin dhe zbatimin e strategjive të zhvillimit të udhëhequra nga komuniteti në varësi të nevojave të tyre, marrjen e vendimeve për alokimi</w:t>
      </w:r>
      <w:r w:rsidR="007C2E67">
        <w:rPr>
          <w:rFonts w:ascii="Times New Roman" w:hAnsi="Times New Roman"/>
          <w:sz w:val="24"/>
          <w:szCs w:val="24"/>
        </w:rPr>
        <w:t>n e burimeve të tyre financiare</w:t>
      </w:r>
      <w:r w:rsidRPr="00181833">
        <w:rPr>
          <w:rFonts w:ascii="Times New Roman" w:hAnsi="Times New Roman"/>
          <w:sz w:val="24"/>
          <w:szCs w:val="24"/>
        </w:rPr>
        <w:t xml:space="preserve"> dhe menaxhimin e tyre bazuar në zhvillimin e qëndrueshëm</w:t>
      </w:r>
      <w:r w:rsidR="00900A89" w:rsidRPr="00181833">
        <w:rPr>
          <w:rFonts w:ascii="Times New Roman" w:hAnsi="Times New Roman"/>
          <w:sz w:val="24"/>
          <w:szCs w:val="24"/>
        </w:rPr>
        <w:t>,</w:t>
      </w:r>
      <w:r w:rsidR="00FE2FD4" w:rsidRPr="00181833">
        <w:rPr>
          <w:rFonts w:ascii="Times New Roman" w:hAnsi="Times New Roman"/>
          <w:sz w:val="24"/>
          <w:szCs w:val="24"/>
        </w:rPr>
        <w:t xml:space="preserve"> sigurimin e një mjedisi për investimet në zonat rurale nga vetë komuniteti, ngritjen e kapaciteteve vendore, si dhe zbatimin e strategjive lokale t</w:t>
      </w:r>
      <w:r w:rsidR="006348D5">
        <w:rPr>
          <w:rFonts w:ascii="Times New Roman" w:hAnsi="Times New Roman"/>
          <w:sz w:val="24"/>
          <w:szCs w:val="24"/>
        </w:rPr>
        <w:t>ë</w:t>
      </w:r>
      <w:r w:rsidR="00FE2FD4" w:rsidRPr="00181833">
        <w:rPr>
          <w:rFonts w:ascii="Times New Roman" w:hAnsi="Times New Roman"/>
          <w:sz w:val="24"/>
          <w:szCs w:val="24"/>
        </w:rPr>
        <w:t xml:space="preserve"> zhvillimit p</w:t>
      </w:r>
      <w:r w:rsidR="006348D5">
        <w:rPr>
          <w:rFonts w:ascii="Times New Roman" w:hAnsi="Times New Roman"/>
          <w:sz w:val="24"/>
          <w:szCs w:val="24"/>
        </w:rPr>
        <w:t>ë</w:t>
      </w:r>
      <w:r w:rsidR="00FE2FD4" w:rsidRPr="00181833">
        <w:rPr>
          <w:rFonts w:ascii="Times New Roman" w:hAnsi="Times New Roman"/>
          <w:sz w:val="24"/>
          <w:szCs w:val="24"/>
        </w:rPr>
        <w:t>rmes projekteve lokale.</w:t>
      </w:r>
    </w:p>
    <w:p w:rsidR="00F107D4" w:rsidRPr="00181833" w:rsidRDefault="00F107D4" w:rsidP="006348D5">
      <w:pPr>
        <w:pStyle w:val="Kzepesrcs12jellszn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107D4" w:rsidRPr="00181833" w:rsidRDefault="00F107D4" w:rsidP="006348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Gjithashtu ky ligj përcakton parimet bazë, standardet, përgjegjësitë, dhe proceset për organizimin dhe funksionimin e Grupeve Vendore të Veprimit, dhe hartimin dhe zbatimin e strategjive të zhvillimit të udhëhequra nga komuniteti, në harmoni me Politikat e Zhvillimit Bujqësor dhe Rural.</w:t>
      </w:r>
    </w:p>
    <w:p w:rsidR="005F6EA4" w:rsidRPr="00181833" w:rsidRDefault="005F6EA4" w:rsidP="001818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F6EA4" w:rsidRPr="00181833" w:rsidRDefault="005F6EA4" w:rsidP="001818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Me miratimin e k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tij projektligji, p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rcaktohet baza p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 krijimin e GVV</w:t>
      </w:r>
      <w:r w:rsidR="00C241CC" w:rsidRPr="00181833">
        <w:rPr>
          <w:rFonts w:ascii="Times New Roman" w:hAnsi="Times New Roman" w:cs="Times New Roman"/>
          <w:sz w:val="24"/>
          <w:szCs w:val="24"/>
          <w:lang w:val="sq-AL"/>
        </w:rPr>
        <w:t>-ve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dhe fillimin e zbatimit t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programit t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BE-s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IPARD II, p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 mb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shtetjen e GVV-ve dhe financimin e Strategjive Lokale t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Zhvillimit.</w:t>
      </w:r>
    </w:p>
    <w:p w:rsidR="00F107D4" w:rsidRDefault="00F107D4" w:rsidP="001818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24341" w:rsidRPr="00181833" w:rsidRDefault="00E24341" w:rsidP="001818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566C2" w:rsidRPr="00181833" w:rsidRDefault="00A566C2" w:rsidP="001818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348D5" w:rsidRDefault="00F107D4" w:rsidP="001818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II.     </w:t>
      </w:r>
      <w:r w:rsidR="00A566C2"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VLERËSIMI I PROJEKTAKTIT NË RAPORT ME PROGRAMIN POLITIK TË </w:t>
      </w:r>
      <w:r w:rsidR="006348D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A566C2" w:rsidRPr="00181833" w:rsidRDefault="00A566C2" w:rsidP="001818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KËSHILLIT TË MINISTRAVE, ME PROGRAMIN ANALITIK TË AKTEVE DHE DOKUMENTE TË TJERA POLITIKE</w:t>
      </w:r>
    </w:p>
    <w:p w:rsidR="00F107D4" w:rsidRPr="00181833" w:rsidRDefault="00F107D4" w:rsidP="00181833">
      <w:pPr>
        <w:pStyle w:val="ListParagraph"/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566C2" w:rsidRDefault="00A566C2" w:rsidP="001818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Ky projektligj është në përputhje dhe në zbatim të Programit Politik të Qeverisë </w:t>
      </w:r>
      <w:r w:rsidR="00F107D4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fushën </w:t>
      </w:r>
      <w:r w:rsidR="005F6EA4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</w:t>
      </w:r>
      <w:r w:rsidR="00F107D4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zhvillimit rural</w:t>
      </w:r>
      <w:r w:rsidR="005F6EA4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Strategjis</w:t>
      </w:r>
      <w:r w:rsidR="00B8177E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F6EA4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</w:t>
      </w:r>
      <w:r w:rsidR="00B8177E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F6EA4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rsektoriale p</w:t>
      </w:r>
      <w:r w:rsidR="00B8177E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F6EA4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r Zhvillimin Rural dhe Bujq</w:t>
      </w:r>
      <w:r w:rsidR="00B8177E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F6EA4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sor</w:t>
      </w:r>
      <w:r w:rsidR="00F107D4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F6EA4" w:rsidRPr="00181833">
        <w:rPr>
          <w:rFonts w:ascii="Times New Roman" w:hAnsi="Times New Roman" w:cs="Times New Roman"/>
          <w:sz w:val="24"/>
          <w:szCs w:val="24"/>
          <w:lang w:val="sq-AL"/>
        </w:rPr>
        <w:t>miratuar me VKM</w:t>
      </w:r>
      <w:r w:rsidR="00FE2FD4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5F6EA4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Nr.709, dat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F6EA4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29.10.2014. </w:t>
      </w:r>
      <w:r w:rsidR="00DD678B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Projektligji është parashikuar në </w:t>
      </w:r>
      <w:r w:rsidR="001027B0" w:rsidRPr="00181833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rogramin </w:t>
      </w:r>
      <w:r w:rsidR="001027B0" w:rsidRPr="00181833">
        <w:rPr>
          <w:rFonts w:ascii="Times New Roman" w:hAnsi="Times New Roman" w:cs="Times New Roman"/>
          <w:sz w:val="24"/>
          <w:szCs w:val="24"/>
          <w:lang w:val="sq-AL"/>
        </w:rPr>
        <w:t>e P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27B0" w:rsidRPr="00181833">
        <w:rPr>
          <w:rFonts w:ascii="Times New Roman" w:hAnsi="Times New Roman" w:cs="Times New Roman"/>
          <w:sz w:val="24"/>
          <w:szCs w:val="24"/>
          <w:lang w:val="sq-AL"/>
        </w:rPr>
        <w:t>rgjithsh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27B0" w:rsidRPr="00181833">
        <w:rPr>
          <w:rFonts w:ascii="Times New Roman" w:hAnsi="Times New Roman" w:cs="Times New Roman"/>
          <w:sz w:val="24"/>
          <w:szCs w:val="24"/>
          <w:lang w:val="sq-AL"/>
        </w:rPr>
        <w:t>m A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nalitik të </w:t>
      </w:r>
      <w:r w:rsidR="001027B0" w:rsidRPr="00181833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kteve që do të miratohen 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nga K</w:t>
      </w:r>
      <w:r w:rsidR="007619C7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shilli i Ministrave 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për vitin 20</w:t>
      </w:r>
      <w:r w:rsidR="00544334" w:rsidRPr="00181833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7C2E67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544334" w:rsidRPr="0018183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6348D5" w:rsidRDefault="006348D5" w:rsidP="001818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348D5" w:rsidRPr="00181833" w:rsidRDefault="006348D5" w:rsidP="001818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566C2" w:rsidRPr="00181833" w:rsidRDefault="00F107D4" w:rsidP="001818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 xml:space="preserve">III.  </w:t>
      </w:r>
      <w:r w:rsidR="00A566C2"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ARGUMENTIMI I PROJEKTAKTIT LIDHUR ME PËRPARËSITË, PROBLEMATIKAT, EFEKTET E PRITSHME</w:t>
      </w:r>
    </w:p>
    <w:p w:rsidR="00A566C2" w:rsidRPr="00181833" w:rsidRDefault="00A566C2" w:rsidP="001818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7035A" w:rsidRPr="00181833" w:rsidRDefault="00B7035A" w:rsidP="00181833">
      <w:pPr>
        <w:shd w:val="clear" w:color="auto" w:fill="FFFFFF"/>
        <w:tabs>
          <w:tab w:val="left" w:pos="1262"/>
          <w:tab w:val="left" w:pos="1819"/>
          <w:tab w:val="left" w:pos="37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Krijimi i Grupeve Vendore të Veprimit </w:t>
      </w:r>
      <w:r w:rsidR="00900A89" w:rsidRPr="00181833">
        <w:rPr>
          <w:rFonts w:ascii="Times New Roman" w:hAnsi="Times New Roman" w:cs="Times New Roman"/>
          <w:sz w:val="24"/>
          <w:szCs w:val="24"/>
          <w:lang w:val="sq-AL"/>
        </w:rPr>
        <w:t>do të mundësoj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ë, përmes partneritetit lokal dhe metodës nga poshtë-lart, përfshirjen e komuniteteve lokale në identifikimin dhe zbatimin e strategjive të zhvillimit të udhëhequra nga komuniteti në varësi të nevojave të tyre dhe marrjen e vendimeve për alokimin e burimeve të tyre financiare, gjith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shtu do t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mund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soj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edhe menaxhimin e tyre, bazuar në zhvillimin e qëndrueshëm.</w:t>
      </w:r>
    </w:p>
    <w:p w:rsidR="005F6EA4" w:rsidRPr="00181833" w:rsidRDefault="005F6EA4" w:rsidP="00181833">
      <w:pPr>
        <w:shd w:val="clear" w:color="auto" w:fill="FFFFFF"/>
        <w:tabs>
          <w:tab w:val="left" w:pos="1262"/>
          <w:tab w:val="left" w:pos="1819"/>
          <w:tab w:val="left" w:pos="37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F6EA4" w:rsidRPr="00181833" w:rsidRDefault="00B7035A" w:rsidP="00181833">
      <w:pPr>
        <w:shd w:val="clear" w:color="auto" w:fill="FFFFFF"/>
        <w:tabs>
          <w:tab w:val="left" w:pos="1262"/>
          <w:tab w:val="left" w:pos="1819"/>
          <w:tab w:val="left" w:pos="37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rmjet k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tij ligji do t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rcaktohen </w:t>
      </w:r>
      <w:r w:rsidR="005F6EA4" w:rsidRPr="00181833">
        <w:rPr>
          <w:rFonts w:ascii="Times New Roman" w:hAnsi="Times New Roman" w:cs="Times New Roman"/>
          <w:sz w:val="24"/>
          <w:szCs w:val="24"/>
          <w:lang w:val="sq-AL"/>
        </w:rPr>
        <w:t>parimet, kriteret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, p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, organizimi dhe funksionimi i k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tyre grupeve vendore t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veprimit, t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cilat krijohen nga aktor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t e p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rcaktuar n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li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gj dhe vetëm në një zonë LEADER, sipas kufijve të përcaktuar, që duhet të jenë të </w:t>
      </w:r>
      <w:r w:rsidR="00946A4E">
        <w:rPr>
          <w:rFonts w:ascii="Times New Roman" w:hAnsi="Times New Roman" w:cs="Times New Roman"/>
          <w:sz w:val="24"/>
          <w:szCs w:val="24"/>
          <w:lang w:val="sq-AL"/>
        </w:rPr>
        <w:t xml:space="preserve">pandërprerë 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gjeografikisht dhe të mbulojnë një territor rural me popullsi 10 000 -</w:t>
      </w:r>
      <w:r w:rsidR="00C241CC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>15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000 banorë.</w:t>
      </w:r>
    </w:p>
    <w:p w:rsidR="005F6EA4" w:rsidRPr="00181833" w:rsidRDefault="005F6EA4" w:rsidP="00181833">
      <w:pPr>
        <w:shd w:val="clear" w:color="auto" w:fill="FFFFFF"/>
        <w:tabs>
          <w:tab w:val="left" w:pos="1262"/>
          <w:tab w:val="left" w:pos="1819"/>
          <w:tab w:val="left" w:pos="37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7035A" w:rsidRPr="00181833" w:rsidRDefault="005F6EA4" w:rsidP="00181833">
      <w:pPr>
        <w:shd w:val="clear" w:color="auto" w:fill="FFFFFF"/>
        <w:tabs>
          <w:tab w:val="left" w:pos="1262"/>
          <w:tab w:val="left" w:pos="1819"/>
          <w:tab w:val="left" w:pos="37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Ky ligj vendos edhe kuadrin rregullator p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 funksionimin e GVV-ve me pjesmarrjen e nj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sive t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vet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qeverisjes vendore</w:t>
      </w:r>
      <w:r w:rsidR="00BF7E8D">
        <w:rPr>
          <w:rFonts w:ascii="Times New Roman" w:hAnsi="Times New Roman" w:cs="Times New Roman"/>
          <w:sz w:val="24"/>
          <w:szCs w:val="24"/>
          <w:lang w:val="sq-AL"/>
        </w:rPr>
        <w:t xml:space="preserve"> bashkive ose qarqeve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dhe aktor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tjer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lokal</w:t>
      </w:r>
      <w:r w:rsidR="006348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, duke lejuar aktivizimin e burimeve dhe institucioneve vendore p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 nj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zhvillim rural t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ndruesh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m dhe me pjes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marrje</w:t>
      </w:r>
      <w:r w:rsidR="006173FE" w:rsidRPr="0018183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si dhe duke mbyllur hap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sirat p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 abu</w:t>
      </w:r>
      <w:r w:rsidR="006173FE" w:rsidRPr="00181833">
        <w:rPr>
          <w:rFonts w:ascii="Times New Roman" w:hAnsi="Times New Roman" w:cs="Times New Roman"/>
          <w:sz w:val="24"/>
          <w:szCs w:val="24"/>
          <w:lang w:val="sq-AL"/>
        </w:rPr>
        <w:t>zime nga shoqata apo projekte t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173FE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cilat nuk respektojn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173FE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parimet dhe kriteret e p</w:t>
      </w:r>
      <w:r w:rsidR="00B8177E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173FE" w:rsidRPr="00181833">
        <w:rPr>
          <w:rFonts w:ascii="Times New Roman" w:hAnsi="Times New Roman" w:cs="Times New Roman"/>
          <w:sz w:val="24"/>
          <w:szCs w:val="24"/>
          <w:lang w:val="sq-AL"/>
        </w:rPr>
        <w:t>rcaktuara.</w:t>
      </w:r>
      <w:r w:rsidR="00493EAC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B7035A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</w:p>
    <w:p w:rsidR="00A566C2" w:rsidRPr="00181833" w:rsidRDefault="00A566C2" w:rsidP="00181833">
      <w:pPr>
        <w:shd w:val="clear" w:color="auto" w:fill="FFFFFF"/>
        <w:tabs>
          <w:tab w:val="left" w:pos="1262"/>
          <w:tab w:val="left" w:pos="1819"/>
          <w:tab w:val="left" w:pos="3725"/>
        </w:tabs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566C2" w:rsidRPr="00181833" w:rsidRDefault="00A566C2" w:rsidP="0018183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566C2" w:rsidRPr="00181833" w:rsidRDefault="00F107D4" w:rsidP="001818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IV. </w:t>
      </w:r>
      <w:r w:rsidR="001A526C"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A566C2"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VLERËSIMI I LIGJSHMËRISË, KUSHTETUTSHMËRISË DHE HARMONIZIMI ME LEGJISLACIONIN NË FUQI VENDAS E NDËRKOMBËTAR</w:t>
      </w:r>
    </w:p>
    <w:p w:rsidR="00A566C2" w:rsidRPr="00181833" w:rsidRDefault="00A566C2" w:rsidP="00181833">
      <w:pPr>
        <w:tabs>
          <w:tab w:val="left" w:pos="1080"/>
          <w:tab w:val="left" w:pos="1440"/>
        </w:tabs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1A526C" w:rsidRPr="00181833" w:rsidRDefault="001A526C" w:rsidP="001818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Projektligji është në përputhje të plotë me Kushtetutën e Republikës së Shqipërisë dhe legjislacionin vendas</w:t>
      </w:r>
      <w:r w:rsidR="00900A89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dhe me legjislacionin e BE</w:t>
      </w:r>
      <w:r w:rsidR="00BE493B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-s</w:t>
      </w:r>
      <w:r w:rsidR="00B8177E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6173FE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(EU Regulation 1305/2013 dhe EU Regulation 1303/2013). </w:t>
      </w:r>
    </w:p>
    <w:p w:rsidR="006348D5" w:rsidRDefault="006348D5" w:rsidP="00181833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DD678B" w:rsidRPr="00181833" w:rsidRDefault="001A526C" w:rsidP="00181833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:rsidR="00A566C2" w:rsidRPr="00181833" w:rsidRDefault="001A526C" w:rsidP="001818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V. </w:t>
      </w:r>
      <w:r w:rsidR="00A566C2"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VLERËSIMI I SHKALLËS SË PËRAFRIMIT ME </w:t>
      </w:r>
      <w:r w:rsidR="00A566C2" w:rsidRPr="00DD189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ACQUIS</w:t>
      </w:r>
      <w:r w:rsidR="00DD189E" w:rsidRPr="00DD189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DD189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</w:t>
      </w:r>
      <w:r w:rsidR="006348D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DD189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DD189E" w:rsidRPr="00DD189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BE</w:t>
      </w:r>
      <w:r w:rsidR="00A566C2" w:rsidRPr="00181833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A566C2"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(PËR PROJEKTAKET NORMATIVE)</w:t>
      </w:r>
    </w:p>
    <w:p w:rsidR="00A566C2" w:rsidRPr="00181833" w:rsidRDefault="00A566C2" w:rsidP="00181833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A526C" w:rsidRPr="00181833" w:rsidRDefault="007F1C3F" w:rsidP="001818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Legjislacioni evropian n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lidhje me menaxhimin e fondeve strukturore, përfshirë atë për zhvillimin rural, ku parashikohet edhe mb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shtetja p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r GVV, nuk 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subjekt transpozimi n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="00BF7E8D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gjislacionin vendas, por nd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rkoh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parimet dhe rregullat e parashikuara n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duhen zbatuar n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analoge dhe t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rputhur n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sistemin vendas t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menaxhimit t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fondeve t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parashikuara p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r mb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shtetjen e GVV. N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konteks, k</w:t>
      </w:r>
      <w:r w:rsidR="001A526C" w:rsidRPr="00181833">
        <w:rPr>
          <w:rFonts w:ascii="Times New Roman" w:hAnsi="Times New Roman" w:cs="Times New Roman"/>
          <w:sz w:val="24"/>
          <w:szCs w:val="24"/>
          <w:lang w:val="sq-AL"/>
        </w:rPr>
        <w:t>y projektligj</w:t>
      </w:r>
      <w:r w:rsidR="0069243E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A17AC" w:rsidRPr="00181833">
        <w:rPr>
          <w:rFonts w:ascii="Times New Roman" w:hAnsi="Times New Roman" w:cs="Times New Roman"/>
          <w:sz w:val="24"/>
          <w:szCs w:val="24"/>
          <w:lang w:val="sq-AL"/>
        </w:rPr>
        <w:t>transpozon pjesën p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7E8D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5A17AC" w:rsidRPr="00181833">
        <w:rPr>
          <w:rFonts w:ascii="Times New Roman" w:hAnsi="Times New Roman" w:cs="Times New Roman"/>
          <w:sz w:val="24"/>
          <w:szCs w:val="24"/>
          <w:lang w:val="sq-AL"/>
        </w:rPr>
        <w:t>kat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17AC" w:rsidRPr="00181833">
        <w:rPr>
          <w:rFonts w:ascii="Times New Roman" w:hAnsi="Times New Roman" w:cs="Times New Roman"/>
          <w:sz w:val="24"/>
          <w:szCs w:val="24"/>
          <w:lang w:val="sq-AL"/>
        </w:rPr>
        <w:t>se t</w:t>
      </w:r>
      <w:r w:rsidR="005E2330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17AC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E493B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Regu</w:t>
      </w:r>
      <w:r w:rsidR="005A17AC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="00BE493B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="005A17AC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ores s</w:t>
      </w:r>
      <w:r w:rsidR="005E2330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A17AC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BE</w:t>
      </w:r>
      <w:r w:rsidR="00BE493B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1305/20</w:t>
      </w:r>
      <w:r w:rsidR="0069243E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13 dhe R</w:t>
      </w:r>
      <w:r w:rsidR="005A17AC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69243E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egul</w:t>
      </w:r>
      <w:r w:rsidR="005A17AC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lores </w:t>
      </w:r>
      <w:r w:rsidR="0069243E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1303/2013</w:t>
      </w:r>
      <w:r w:rsidR="005A17AC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si dhe </w:t>
      </w:r>
      <w:r w:rsidR="00013936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parimet e këtyre Rregulloreve, e specifikuar edhe në </w:t>
      </w:r>
      <w:r w:rsidR="00013936" w:rsidRPr="00181833">
        <w:rPr>
          <w:rFonts w:ascii="Times New Roman" w:hAnsi="Times New Roman" w:cs="Times New Roman"/>
          <w:sz w:val="24"/>
          <w:szCs w:val="24"/>
          <w:lang w:val="sq-AL"/>
        </w:rPr>
        <w:t>tabel</w:t>
      </w:r>
      <w:r w:rsidR="00013936"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ën</w:t>
      </w:r>
      <w:r w:rsidR="00013936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="001A526C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përputhshmërisë</w:t>
      </w:r>
      <w:r w:rsidR="00013936" w:rsidRPr="0018183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F50523">
        <w:rPr>
          <w:rFonts w:ascii="Times New Roman" w:hAnsi="Times New Roman" w:cs="Times New Roman"/>
          <w:sz w:val="24"/>
          <w:szCs w:val="24"/>
          <w:lang w:val="sq-AL"/>
        </w:rPr>
        <w:t xml:space="preserve"> bashkëlidhur këtij relacioni, n</w:t>
      </w:r>
      <w:r w:rsidR="0092064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505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92064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50523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92064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5052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92064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50523">
        <w:rPr>
          <w:rFonts w:ascii="Times New Roman" w:hAnsi="Times New Roman" w:cs="Times New Roman"/>
          <w:sz w:val="24"/>
          <w:szCs w:val="24"/>
          <w:lang w:val="sq-AL"/>
        </w:rPr>
        <w:t xml:space="preserve"> pjesshme.</w:t>
      </w:r>
      <w:r w:rsidR="001A526C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4A7D09" w:rsidRPr="00181833" w:rsidRDefault="004A7D09" w:rsidP="001818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A7D09" w:rsidRPr="00181833" w:rsidRDefault="004A7D09" w:rsidP="001818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566C2" w:rsidRPr="00181833" w:rsidRDefault="001A526C" w:rsidP="001818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 xml:space="preserve">VI. </w:t>
      </w:r>
      <w:r w:rsidR="00A566C2"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PËRMBLEDHJE SHPJEGUESE E PËRMBAJTJES SË PROJEKTAKTIT</w:t>
      </w:r>
    </w:p>
    <w:p w:rsidR="00A566C2" w:rsidRPr="00181833" w:rsidRDefault="00A566C2" w:rsidP="00181833">
      <w:pPr>
        <w:tabs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04B22" w:rsidRPr="00181833" w:rsidRDefault="00D04B22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Ky projektligj </w:t>
      </w:r>
      <w:r w:rsidR="00D4734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D4734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2913" w:rsidRPr="00181833">
        <w:rPr>
          <w:rFonts w:ascii="Times New Roman" w:hAnsi="Times New Roman" w:cs="Times New Roman"/>
          <w:sz w:val="24"/>
          <w:szCs w:val="24"/>
          <w:lang w:val="sq-AL"/>
        </w:rPr>
        <w:t>hartuar me kat</w:t>
      </w:r>
      <w:r w:rsidR="00D4734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92913" w:rsidRPr="00181833">
        <w:rPr>
          <w:rFonts w:ascii="Times New Roman" w:hAnsi="Times New Roman" w:cs="Times New Roman"/>
          <w:sz w:val="24"/>
          <w:szCs w:val="24"/>
          <w:lang w:val="sq-AL"/>
        </w:rPr>
        <w:t>r krer</w:t>
      </w:r>
      <w:r w:rsidR="00D4734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92913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dhe i p</w:t>
      </w:r>
      <w:r w:rsidR="00D4734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92913" w:rsidRPr="00181833">
        <w:rPr>
          <w:rFonts w:ascii="Times New Roman" w:hAnsi="Times New Roman" w:cs="Times New Roman"/>
          <w:sz w:val="24"/>
          <w:szCs w:val="24"/>
          <w:lang w:val="sq-AL"/>
        </w:rPr>
        <w:t>rb</w:t>
      </w:r>
      <w:r w:rsidR="00D4734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92913" w:rsidRPr="00181833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D4734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92913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nga 1</w:t>
      </w:r>
      <w:r w:rsidR="00BF7E8D">
        <w:rPr>
          <w:rFonts w:ascii="Times New Roman" w:hAnsi="Times New Roman" w:cs="Times New Roman"/>
          <w:sz w:val="24"/>
          <w:szCs w:val="24"/>
          <w:lang w:val="sq-AL"/>
        </w:rPr>
        <w:t>9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nene</w:t>
      </w:r>
      <w:r w:rsidR="00D4734C" w:rsidRPr="0018183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2913" w:rsidRPr="00181833">
        <w:rPr>
          <w:rFonts w:ascii="Times New Roman" w:hAnsi="Times New Roman" w:cs="Times New Roman"/>
          <w:sz w:val="24"/>
          <w:szCs w:val="24"/>
          <w:lang w:val="sq-AL"/>
        </w:rPr>
        <w:t>me p</w:t>
      </w:r>
      <w:r w:rsidR="00D4734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92913" w:rsidRPr="00181833">
        <w:rPr>
          <w:rFonts w:ascii="Times New Roman" w:hAnsi="Times New Roman" w:cs="Times New Roman"/>
          <w:sz w:val="24"/>
          <w:szCs w:val="24"/>
          <w:lang w:val="sq-AL"/>
        </w:rPr>
        <w:t>rmba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B92913" w:rsidRPr="00181833">
        <w:rPr>
          <w:rFonts w:ascii="Times New Roman" w:hAnsi="Times New Roman" w:cs="Times New Roman"/>
          <w:sz w:val="24"/>
          <w:szCs w:val="24"/>
          <w:lang w:val="sq-AL"/>
        </w:rPr>
        <w:t>tje si m</w:t>
      </w:r>
      <w:r w:rsidR="00D4734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92913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 w:rsidR="00D4734C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92913" w:rsidRPr="00181833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AB2002" w:rsidRPr="00181833" w:rsidRDefault="00F62289" w:rsidP="00181833">
      <w:pPr>
        <w:pStyle w:val="Kzepesrcs12jellszn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81833">
        <w:rPr>
          <w:rFonts w:ascii="Times New Roman" w:hAnsi="Times New Roman"/>
          <w:i/>
          <w:sz w:val="24"/>
          <w:szCs w:val="24"/>
        </w:rPr>
        <w:t xml:space="preserve">Kreun I, </w:t>
      </w:r>
      <w:r w:rsidR="000D193D" w:rsidRPr="00181833">
        <w:rPr>
          <w:rFonts w:ascii="Times New Roman" w:hAnsi="Times New Roman"/>
          <w:i/>
          <w:sz w:val="24"/>
          <w:szCs w:val="24"/>
        </w:rPr>
        <w:t>Dispozita t</w:t>
      </w:r>
      <w:r w:rsidR="006348D5">
        <w:rPr>
          <w:rFonts w:ascii="Times New Roman" w:hAnsi="Times New Roman"/>
          <w:i/>
          <w:sz w:val="24"/>
          <w:szCs w:val="24"/>
        </w:rPr>
        <w:t>ë</w:t>
      </w:r>
      <w:r w:rsidR="000D193D" w:rsidRPr="00181833">
        <w:rPr>
          <w:rFonts w:ascii="Times New Roman" w:hAnsi="Times New Roman"/>
          <w:i/>
          <w:sz w:val="24"/>
          <w:szCs w:val="24"/>
        </w:rPr>
        <w:t xml:space="preserve"> p</w:t>
      </w:r>
      <w:r w:rsidR="006348D5">
        <w:rPr>
          <w:rFonts w:ascii="Times New Roman" w:hAnsi="Times New Roman"/>
          <w:i/>
          <w:sz w:val="24"/>
          <w:szCs w:val="24"/>
        </w:rPr>
        <w:t>ë</w:t>
      </w:r>
      <w:r w:rsidR="000D193D" w:rsidRPr="00181833">
        <w:rPr>
          <w:rFonts w:ascii="Times New Roman" w:hAnsi="Times New Roman"/>
          <w:i/>
          <w:sz w:val="24"/>
          <w:szCs w:val="24"/>
        </w:rPr>
        <w:t xml:space="preserve">rgjithshme, </w:t>
      </w:r>
      <w:r w:rsidRPr="00181833">
        <w:rPr>
          <w:rFonts w:ascii="Times New Roman" w:hAnsi="Times New Roman"/>
          <w:sz w:val="24"/>
          <w:szCs w:val="24"/>
        </w:rPr>
        <w:t>p</w:t>
      </w:r>
      <w:r w:rsidR="006348D5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>rb</w:t>
      </w:r>
      <w:r w:rsidR="006348D5">
        <w:rPr>
          <w:rFonts w:ascii="Times New Roman" w:hAnsi="Times New Roman"/>
          <w:sz w:val="24"/>
          <w:szCs w:val="24"/>
        </w:rPr>
        <w:t>ë</w:t>
      </w:r>
      <w:r w:rsidR="0003579D">
        <w:rPr>
          <w:rFonts w:ascii="Times New Roman" w:hAnsi="Times New Roman"/>
          <w:sz w:val="24"/>
          <w:szCs w:val="24"/>
        </w:rPr>
        <w:t>het nga 8</w:t>
      </w:r>
      <w:r w:rsidRPr="00181833">
        <w:rPr>
          <w:rFonts w:ascii="Times New Roman" w:hAnsi="Times New Roman"/>
          <w:sz w:val="24"/>
          <w:szCs w:val="24"/>
        </w:rPr>
        <w:t xml:space="preserve"> nene, </w:t>
      </w:r>
      <w:r w:rsidR="00135A21" w:rsidRPr="00181833">
        <w:rPr>
          <w:rFonts w:ascii="Times New Roman" w:hAnsi="Times New Roman"/>
          <w:sz w:val="24"/>
          <w:szCs w:val="24"/>
        </w:rPr>
        <w:t xml:space="preserve">dhe </w:t>
      </w:r>
      <w:r w:rsidRPr="00181833">
        <w:rPr>
          <w:rFonts w:ascii="Times New Roman" w:hAnsi="Times New Roman"/>
          <w:sz w:val="24"/>
          <w:szCs w:val="24"/>
        </w:rPr>
        <w:t xml:space="preserve">pasqyrohen: </w:t>
      </w:r>
      <w:r w:rsidR="004A7D09" w:rsidRPr="00181833">
        <w:rPr>
          <w:rFonts w:ascii="Times New Roman" w:hAnsi="Times New Roman"/>
          <w:sz w:val="24"/>
          <w:szCs w:val="24"/>
        </w:rPr>
        <w:t xml:space="preserve"> </w:t>
      </w:r>
      <w:r w:rsidR="00245189" w:rsidRPr="00181833">
        <w:rPr>
          <w:rFonts w:ascii="Times New Roman" w:hAnsi="Times New Roman"/>
          <w:sz w:val="24"/>
          <w:szCs w:val="24"/>
        </w:rPr>
        <w:t>q</w:t>
      </w:r>
      <w:r w:rsidR="00D4734C" w:rsidRPr="00181833">
        <w:rPr>
          <w:rFonts w:ascii="Times New Roman" w:hAnsi="Times New Roman"/>
          <w:sz w:val="24"/>
          <w:szCs w:val="24"/>
        </w:rPr>
        <w:t>ë</w:t>
      </w:r>
      <w:r w:rsidR="00245189" w:rsidRPr="00181833">
        <w:rPr>
          <w:rFonts w:ascii="Times New Roman" w:hAnsi="Times New Roman"/>
          <w:sz w:val="24"/>
          <w:szCs w:val="24"/>
        </w:rPr>
        <w:t>llimi</w:t>
      </w:r>
      <w:r w:rsidRPr="00181833">
        <w:rPr>
          <w:rFonts w:ascii="Times New Roman" w:hAnsi="Times New Roman"/>
          <w:i/>
          <w:sz w:val="24"/>
          <w:szCs w:val="24"/>
        </w:rPr>
        <w:t xml:space="preserve"> </w:t>
      </w:r>
      <w:r w:rsidRPr="00181833">
        <w:rPr>
          <w:rFonts w:ascii="Times New Roman" w:hAnsi="Times New Roman"/>
          <w:sz w:val="24"/>
          <w:szCs w:val="24"/>
        </w:rPr>
        <w:t>i projektaktit q</w:t>
      </w:r>
      <w:r w:rsidR="006348D5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 xml:space="preserve"> </w:t>
      </w:r>
      <w:r w:rsidR="006348D5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>sht</w:t>
      </w:r>
      <w:r w:rsidR="006348D5">
        <w:rPr>
          <w:rFonts w:ascii="Times New Roman" w:hAnsi="Times New Roman"/>
          <w:sz w:val="24"/>
          <w:szCs w:val="24"/>
        </w:rPr>
        <w:t>ë</w:t>
      </w:r>
      <w:r w:rsidR="000561CF" w:rsidRPr="00181833">
        <w:rPr>
          <w:rFonts w:ascii="Times New Roman" w:hAnsi="Times New Roman"/>
          <w:i/>
          <w:sz w:val="24"/>
          <w:szCs w:val="24"/>
        </w:rPr>
        <w:t xml:space="preserve"> </w:t>
      </w:r>
      <w:r w:rsidR="004A7D09" w:rsidRPr="00181833">
        <w:rPr>
          <w:rFonts w:ascii="Times New Roman" w:hAnsi="Times New Roman"/>
          <w:sz w:val="24"/>
          <w:szCs w:val="24"/>
        </w:rPr>
        <w:t>p</w:t>
      </w:r>
      <w:r w:rsidR="00D4734C" w:rsidRPr="00181833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 xml:space="preserve">rcaktimi i </w:t>
      </w:r>
      <w:r w:rsidR="001C4D73" w:rsidRPr="00181833">
        <w:rPr>
          <w:rFonts w:ascii="Times New Roman" w:hAnsi="Times New Roman"/>
          <w:sz w:val="24"/>
          <w:szCs w:val="24"/>
        </w:rPr>
        <w:t>parakushte</w:t>
      </w:r>
      <w:r w:rsidRPr="00181833">
        <w:rPr>
          <w:rFonts w:ascii="Times New Roman" w:hAnsi="Times New Roman"/>
          <w:sz w:val="24"/>
          <w:szCs w:val="24"/>
        </w:rPr>
        <w:t>ve</w:t>
      </w:r>
      <w:r w:rsidR="001C4D73" w:rsidRPr="00181833">
        <w:rPr>
          <w:rFonts w:ascii="Times New Roman" w:hAnsi="Times New Roman"/>
          <w:sz w:val="24"/>
          <w:szCs w:val="24"/>
        </w:rPr>
        <w:t xml:space="preserve"> për</w:t>
      </w:r>
      <w:r w:rsidR="004A7D09" w:rsidRPr="00181833">
        <w:rPr>
          <w:rFonts w:ascii="Times New Roman" w:hAnsi="Times New Roman"/>
          <w:i/>
          <w:sz w:val="24"/>
          <w:szCs w:val="24"/>
        </w:rPr>
        <w:t xml:space="preserve"> </w:t>
      </w:r>
      <w:r w:rsidR="004A7D09" w:rsidRPr="00181833">
        <w:rPr>
          <w:rFonts w:ascii="Times New Roman" w:hAnsi="Times New Roman"/>
          <w:sz w:val="24"/>
          <w:szCs w:val="24"/>
        </w:rPr>
        <w:t>krijimi</w:t>
      </w:r>
      <w:r w:rsidR="001C4D73" w:rsidRPr="00181833">
        <w:rPr>
          <w:rFonts w:ascii="Times New Roman" w:hAnsi="Times New Roman"/>
          <w:sz w:val="24"/>
          <w:szCs w:val="24"/>
        </w:rPr>
        <w:t>n</w:t>
      </w:r>
      <w:r w:rsidR="004A7D09" w:rsidRPr="00181833">
        <w:rPr>
          <w:rFonts w:ascii="Times New Roman" w:hAnsi="Times New Roman"/>
          <w:sz w:val="24"/>
          <w:szCs w:val="24"/>
        </w:rPr>
        <w:t xml:space="preserve"> dhe funksionimi</w:t>
      </w:r>
      <w:r w:rsidR="001C4D73" w:rsidRPr="00181833">
        <w:rPr>
          <w:rFonts w:ascii="Times New Roman" w:hAnsi="Times New Roman"/>
          <w:sz w:val="24"/>
          <w:szCs w:val="24"/>
        </w:rPr>
        <w:t>n e</w:t>
      </w:r>
      <w:r w:rsidR="004A7D09" w:rsidRPr="00181833">
        <w:rPr>
          <w:rFonts w:ascii="Times New Roman" w:hAnsi="Times New Roman"/>
          <w:sz w:val="24"/>
          <w:szCs w:val="24"/>
        </w:rPr>
        <w:t xml:space="preserve"> Grupeve Vendore të Veprimit </w:t>
      </w:r>
      <w:r w:rsidR="00D4734C" w:rsidRPr="00181833">
        <w:rPr>
          <w:rFonts w:ascii="Times New Roman" w:hAnsi="Times New Roman"/>
          <w:sz w:val="24"/>
          <w:szCs w:val="24"/>
        </w:rPr>
        <w:t xml:space="preserve">(GVV) </w:t>
      </w:r>
      <w:r w:rsidR="004A7D09" w:rsidRPr="00181833">
        <w:rPr>
          <w:rFonts w:ascii="Times New Roman" w:hAnsi="Times New Roman"/>
          <w:sz w:val="24"/>
          <w:szCs w:val="24"/>
        </w:rPr>
        <w:t xml:space="preserve">të cilët do të mundësojnë, përmes partneritetit lokal dhe metodës nga poshtë-lart, përfshirjen e komuniteteve lokale në identifikimin dhe zbatimin e strategjive të zhvillimit të udhëhequra nga </w:t>
      </w:r>
      <w:r w:rsidRPr="00181833">
        <w:rPr>
          <w:rFonts w:ascii="Times New Roman" w:hAnsi="Times New Roman"/>
          <w:sz w:val="24"/>
          <w:szCs w:val="24"/>
        </w:rPr>
        <w:t>vet</w:t>
      </w:r>
      <w:r w:rsidR="006348D5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 xml:space="preserve"> </w:t>
      </w:r>
      <w:r w:rsidR="004A7D09" w:rsidRPr="00181833">
        <w:rPr>
          <w:rFonts w:ascii="Times New Roman" w:hAnsi="Times New Roman"/>
          <w:sz w:val="24"/>
          <w:szCs w:val="24"/>
        </w:rPr>
        <w:t>komuniteti</w:t>
      </w:r>
      <w:r w:rsidRPr="00181833">
        <w:rPr>
          <w:rFonts w:ascii="Times New Roman" w:hAnsi="Times New Roman"/>
          <w:sz w:val="24"/>
          <w:szCs w:val="24"/>
        </w:rPr>
        <w:t xml:space="preserve">, </w:t>
      </w:r>
      <w:r w:rsidR="004A7D09" w:rsidRPr="00181833">
        <w:rPr>
          <w:rFonts w:ascii="Times New Roman" w:hAnsi="Times New Roman"/>
          <w:sz w:val="24"/>
          <w:szCs w:val="24"/>
        </w:rPr>
        <w:t>marrjen e vendimeve për alokimin e burimeve të tyre financiare</w:t>
      </w:r>
      <w:r w:rsidRPr="00181833">
        <w:rPr>
          <w:rFonts w:ascii="Times New Roman" w:hAnsi="Times New Roman"/>
          <w:sz w:val="24"/>
          <w:szCs w:val="24"/>
        </w:rPr>
        <w:t xml:space="preserve"> </w:t>
      </w:r>
      <w:r w:rsidR="004A7D09" w:rsidRPr="00181833">
        <w:rPr>
          <w:rFonts w:ascii="Times New Roman" w:hAnsi="Times New Roman"/>
          <w:sz w:val="24"/>
          <w:szCs w:val="24"/>
        </w:rPr>
        <w:t xml:space="preserve">dhe menaxhimin e tyre bazuar në zhvillimin e qëndrueshëm. </w:t>
      </w:r>
      <w:r w:rsidRPr="00181833">
        <w:rPr>
          <w:rFonts w:ascii="Times New Roman" w:hAnsi="Times New Roman"/>
          <w:sz w:val="24"/>
          <w:szCs w:val="24"/>
        </w:rPr>
        <w:t>sigurimin e një mjedisi për investimet në zonat rurale nga vetë komuniteti, ngritjen e kapaciteteve vendore, si dhe zbatimin e strategjive lokale t</w:t>
      </w:r>
      <w:r w:rsidR="006348D5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 xml:space="preserve"> zhvillimit p</w:t>
      </w:r>
      <w:r w:rsidR="006348D5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>rmes projekteve lokale; fusha e veprimit</w:t>
      </w:r>
      <w:r w:rsidR="00900A89" w:rsidRPr="00181833">
        <w:rPr>
          <w:rFonts w:ascii="Times New Roman" w:hAnsi="Times New Roman"/>
          <w:sz w:val="24"/>
          <w:szCs w:val="24"/>
        </w:rPr>
        <w:t>,</w:t>
      </w:r>
      <w:r w:rsidRPr="00181833">
        <w:rPr>
          <w:rFonts w:ascii="Times New Roman" w:hAnsi="Times New Roman"/>
          <w:sz w:val="24"/>
          <w:szCs w:val="24"/>
        </w:rPr>
        <w:t xml:space="preserve"> q</w:t>
      </w:r>
      <w:r w:rsidR="006348D5">
        <w:rPr>
          <w:rFonts w:ascii="Times New Roman" w:hAnsi="Times New Roman"/>
          <w:sz w:val="24"/>
          <w:szCs w:val="24"/>
        </w:rPr>
        <w:t>ë</w:t>
      </w:r>
      <w:r w:rsidR="000561CF" w:rsidRPr="00181833">
        <w:rPr>
          <w:rFonts w:ascii="Times New Roman" w:hAnsi="Times New Roman"/>
          <w:i/>
          <w:sz w:val="24"/>
          <w:szCs w:val="24"/>
        </w:rPr>
        <w:t xml:space="preserve"> </w:t>
      </w:r>
      <w:r w:rsidR="004A7D09" w:rsidRPr="00181833">
        <w:rPr>
          <w:rFonts w:ascii="Times New Roman" w:hAnsi="Times New Roman"/>
          <w:sz w:val="24"/>
          <w:szCs w:val="24"/>
        </w:rPr>
        <w:t>p</w:t>
      </w:r>
      <w:r w:rsidR="00D4734C" w:rsidRPr="00181833">
        <w:rPr>
          <w:rFonts w:ascii="Times New Roman" w:hAnsi="Times New Roman"/>
          <w:sz w:val="24"/>
          <w:szCs w:val="24"/>
        </w:rPr>
        <w:t>ë</w:t>
      </w:r>
      <w:r w:rsidR="004A7D09" w:rsidRPr="00181833">
        <w:rPr>
          <w:rFonts w:ascii="Times New Roman" w:hAnsi="Times New Roman"/>
          <w:sz w:val="24"/>
          <w:szCs w:val="24"/>
        </w:rPr>
        <w:t>rcakto</w:t>
      </w:r>
      <w:r w:rsidR="00245189" w:rsidRPr="00181833">
        <w:rPr>
          <w:rFonts w:ascii="Times New Roman" w:hAnsi="Times New Roman"/>
          <w:sz w:val="24"/>
          <w:szCs w:val="24"/>
        </w:rPr>
        <w:t>n</w:t>
      </w:r>
      <w:r w:rsidR="004A7D09" w:rsidRPr="00181833">
        <w:rPr>
          <w:rFonts w:ascii="Times New Roman" w:hAnsi="Times New Roman"/>
          <w:sz w:val="24"/>
          <w:szCs w:val="24"/>
        </w:rPr>
        <w:t xml:space="preserve"> parimet bazë, standardet, përgjegjësitë dhe proceset për organizimin dhe funksionimin e GVV</w:t>
      </w:r>
      <w:r w:rsidR="001C4D73" w:rsidRPr="00181833">
        <w:rPr>
          <w:rFonts w:ascii="Times New Roman" w:hAnsi="Times New Roman"/>
          <w:sz w:val="24"/>
          <w:szCs w:val="24"/>
        </w:rPr>
        <w:t>-ve</w:t>
      </w:r>
      <w:r w:rsidR="004A7D09" w:rsidRPr="00181833">
        <w:rPr>
          <w:rFonts w:ascii="Times New Roman" w:hAnsi="Times New Roman"/>
          <w:sz w:val="24"/>
          <w:szCs w:val="24"/>
        </w:rPr>
        <w:t xml:space="preserve">, </w:t>
      </w:r>
      <w:r w:rsidR="00D4734C" w:rsidRPr="00181833">
        <w:rPr>
          <w:rFonts w:ascii="Times New Roman" w:hAnsi="Times New Roman"/>
          <w:sz w:val="24"/>
          <w:szCs w:val="24"/>
        </w:rPr>
        <w:t xml:space="preserve">si </w:t>
      </w:r>
      <w:r w:rsidR="004A7D09" w:rsidRPr="00181833">
        <w:rPr>
          <w:rFonts w:ascii="Times New Roman" w:hAnsi="Times New Roman"/>
          <w:sz w:val="24"/>
          <w:szCs w:val="24"/>
        </w:rPr>
        <w:t xml:space="preserve">dhe hartimi dhe zbatimi </w:t>
      </w:r>
      <w:r w:rsidR="00900A89" w:rsidRPr="00181833">
        <w:rPr>
          <w:rFonts w:ascii="Times New Roman" w:hAnsi="Times New Roman"/>
          <w:sz w:val="24"/>
          <w:szCs w:val="24"/>
        </w:rPr>
        <w:t xml:space="preserve">i </w:t>
      </w:r>
      <w:r w:rsidR="004A7D09" w:rsidRPr="00181833">
        <w:rPr>
          <w:rFonts w:ascii="Times New Roman" w:hAnsi="Times New Roman"/>
          <w:sz w:val="24"/>
          <w:szCs w:val="24"/>
        </w:rPr>
        <w:t xml:space="preserve">strategjive të zhvillimit të udhëhequra nga komuniteti, në harmoni me Politikat </w:t>
      </w:r>
      <w:r w:rsidRPr="00181833">
        <w:rPr>
          <w:rFonts w:ascii="Times New Roman" w:hAnsi="Times New Roman"/>
          <w:sz w:val="24"/>
          <w:szCs w:val="24"/>
        </w:rPr>
        <w:t xml:space="preserve">e Zhvillimit Bujqësor dhe Rural; </w:t>
      </w:r>
      <w:r w:rsidR="000561CF" w:rsidRPr="00181833">
        <w:rPr>
          <w:rFonts w:ascii="Times New Roman" w:hAnsi="Times New Roman"/>
          <w:sz w:val="24"/>
          <w:szCs w:val="24"/>
        </w:rPr>
        <w:t>p</w:t>
      </w:r>
      <w:r w:rsidR="00D4734C" w:rsidRPr="00181833">
        <w:rPr>
          <w:rFonts w:ascii="Times New Roman" w:hAnsi="Times New Roman"/>
          <w:sz w:val="24"/>
          <w:szCs w:val="24"/>
        </w:rPr>
        <w:t>ë</w:t>
      </w:r>
      <w:r w:rsidR="000561CF" w:rsidRPr="00181833">
        <w:rPr>
          <w:rFonts w:ascii="Times New Roman" w:hAnsi="Times New Roman"/>
          <w:sz w:val="24"/>
          <w:szCs w:val="24"/>
        </w:rPr>
        <w:t>rkufizimet e t</w:t>
      </w:r>
      <w:r w:rsidR="00D4734C" w:rsidRPr="00181833">
        <w:rPr>
          <w:rFonts w:ascii="Times New Roman" w:hAnsi="Times New Roman"/>
          <w:sz w:val="24"/>
          <w:szCs w:val="24"/>
        </w:rPr>
        <w:t>ë</w:t>
      </w:r>
      <w:r w:rsidR="000561CF" w:rsidRPr="00181833">
        <w:rPr>
          <w:rFonts w:ascii="Times New Roman" w:hAnsi="Times New Roman"/>
          <w:sz w:val="24"/>
          <w:szCs w:val="24"/>
        </w:rPr>
        <w:t xml:space="preserve"> gjith</w:t>
      </w:r>
      <w:r w:rsidR="00D4734C" w:rsidRPr="00181833">
        <w:rPr>
          <w:rFonts w:ascii="Times New Roman" w:hAnsi="Times New Roman"/>
          <w:sz w:val="24"/>
          <w:szCs w:val="24"/>
        </w:rPr>
        <w:t>ë</w:t>
      </w:r>
      <w:r w:rsidR="000561CF" w:rsidRPr="00181833">
        <w:rPr>
          <w:rFonts w:ascii="Times New Roman" w:hAnsi="Times New Roman"/>
          <w:sz w:val="24"/>
          <w:szCs w:val="24"/>
        </w:rPr>
        <w:t xml:space="preserve"> termave t</w:t>
      </w:r>
      <w:r w:rsidR="00D4734C" w:rsidRPr="00181833">
        <w:rPr>
          <w:rFonts w:ascii="Times New Roman" w:hAnsi="Times New Roman"/>
          <w:sz w:val="24"/>
          <w:szCs w:val="24"/>
        </w:rPr>
        <w:t>ë</w:t>
      </w:r>
      <w:r w:rsidR="000561CF" w:rsidRPr="00181833">
        <w:rPr>
          <w:rFonts w:ascii="Times New Roman" w:hAnsi="Times New Roman"/>
          <w:sz w:val="24"/>
          <w:szCs w:val="24"/>
        </w:rPr>
        <w:t xml:space="preserve"> p</w:t>
      </w:r>
      <w:r w:rsidR="00D4734C" w:rsidRPr="00181833">
        <w:rPr>
          <w:rFonts w:ascii="Times New Roman" w:hAnsi="Times New Roman"/>
          <w:sz w:val="24"/>
          <w:szCs w:val="24"/>
        </w:rPr>
        <w:t>ë</w:t>
      </w:r>
      <w:r w:rsidR="000561CF" w:rsidRPr="00181833">
        <w:rPr>
          <w:rFonts w:ascii="Times New Roman" w:hAnsi="Times New Roman"/>
          <w:sz w:val="24"/>
          <w:szCs w:val="24"/>
        </w:rPr>
        <w:t>rdorura n</w:t>
      </w:r>
      <w:r w:rsidR="00D4734C" w:rsidRPr="00181833">
        <w:rPr>
          <w:rFonts w:ascii="Times New Roman" w:hAnsi="Times New Roman"/>
          <w:sz w:val="24"/>
          <w:szCs w:val="24"/>
        </w:rPr>
        <w:t>ë</w:t>
      </w:r>
      <w:r w:rsidR="000561CF" w:rsidRPr="00181833">
        <w:rPr>
          <w:rFonts w:ascii="Times New Roman" w:hAnsi="Times New Roman"/>
          <w:sz w:val="24"/>
          <w:szCs w:val="24"/>
        </w:rPr>
        <w:t xml:space="preserve"> kuptim t</w:t>
      </w:r>
      <w:r w:rsidR="00D4734C" w:rsidRPr="00181833">
        <w:rPr>
          <w:rFonts w:ascii="Times New Roman" w:hAnsi="Times New Roman"/>
          <w:sz w:val="24"/>
          <w:szCs w:val="24"/>
        </w:rPr>
        <w:t>ë</w:t>
      </w:r>
      <w:r w:rsidR="000561CF" w:rsidRPr="00181833">
        <w:rPr>
          <w:rFonts w:ascii="Times New Roman" w:hAnsi="Times New Roman"/>
          <w:sz w:val="24"/>
          <w:szCs w:val="24"/>
        </w:rPr>
        <w:t xml:space="preserve"> k</w:t>
      </w:r>
      <w:r w:rsidR="00D4734C" w:rsidRPr="00181833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>tij ligji; si dhe</w:t>
      </w:r>
      <w:r w:rsidR="00900A89" w:rsidRPr="00181833">
        <w:rPr>
          <w:rFonts w:ascii="Times New Roman" w:hAnsi="Times New Roman"/>
          <w:sz w:val="24"/>
          <w:szCs w:val="24"/>
        </w:rPr>
        <w:t>,</w:t>
      </w:r>
      <w:r w:rsidRPr="00181833">
        <w:rPr>
          <w:rFonts w:ascii="Times New Roman" w:hAnsi="Times New Roman"/>
          <w:sz w:val="24"/>
          <w:szCs w:val="24"/>
        </w:rPr>
        <w:t xml:space="preserve"> 4 parimet : </w:t>
      </w:r>
      <w:r w:rsidR="000561CF" w:rsidRPr="00181833">
        <w:rPr>
          <w:rFonts w:ascii="Times New Roman" w:hAnsi="Times New Roman"/>
          <w:sz w:val="24"/>
          <w:szCs w:val="24"/>
        </w:rPr>
        <w:t>parimi i partneritetit</w:t>
      </w:r>
      <w:r w:rsidRPr="00181833">
        <w:rPr>
          <w:rFonts w:ascii="Times New Roman" w:hAnsi="Times New Roman"/>
          <w:sz w:val="24"/>
          <w:szCs w:val="24"/>
        </w:rPr>
        <w:t xml:space="preserve">, </w:t>
      </w:r>
      <w:r w:rsidR="00AB2002" w:rsidRPr="00181833">
        <w:rPr>
          <w:rFonts w:ascii="Times New Roman" w:hAnsi="Times New Roman"/>
          <w:sz w:val="24"/>
          <w:szCs w:val="24"/>
        </w:rPr>
        <w:t xml:space="preserve">parimi territorial, </w:t>
      </w:r>
      <w:r w:rsidR="00C073BA" w:rsidRPr="00181833">
        <w:rPr>
          <w:rFonts w:ascii="Times New Roman" w:hAnsi="Times New Roman"/>
          <w:sz w:val="24"/>
          <w:szCs w:val="24"/>
        </w:rPr>
        <w:t xml:space="preserve">parimi nga poshtë-lart, </w:t>
      </w:r>
      <w:r w:rsidR="00D4734C" w:rsidRPr="00181833">
        <w:rPr>
          <w:rFonts w:ascii="Times New Roman" w:hAnsi="Times New Roman"/>
          <w:sz w:val="24"/>
          <w:szCs w:val="24"/>
        </w:rPr>
        <w:t>parimi rrjetëzimit dhe bashkëpunimit</w:t>
      </w:r>
      <w:r w:rsidRPr="00181833">
        <w:rPr>
          <w:rFonts w:ascii="Times New Roman" w:hAnsi="Times New Roman"/>
          <w:sz w:val="24"/>
          <w:szCs w:val="24"/>
        </w:rPr>
        <w:t>, mbi baz</w:t>
      </w:r>
      <w:r w:rsidR="006348D5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>n e t</w:t>
      </w:r>
      <w:r w:rsidR="006348D5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 xml:space="preserve"> cilave do t</w:t>
      </w:r>
      <w:r w:rsidR="006348D5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 xml:space="preserve"> ngrihen dhe funksionojn</w:t>
      </w:r>
      <w:r w:rsidR="006348D5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 xml:space="preserve"> GVV-t</w:t>
      </w:r>
      <w:r w:rsidR="006348D5">
        <w:rPr>
          <w:rFonts w:ascii="Times New Roman" w:hAnsi="Times New Roman"/>
          <w:sz w:val="24"/>
          <w:szCs w:val="24"/>
        </w:rPr>
        <w:t>ë</w:t>
      </w:r>
      <w:r w:rsidRPr="00181833">
        <w:rPr>
          <w:rFonts w:ascii="Times New Roman" w:hAnsi="Times New Roman"/>
          <w:sz w:val="24"/>
          <w:szCs w:val="24"/>
        </w:rPr>
        <w:t>.</w:t>
      </w:r>
    </w:p>
    <w:p w:rsidR="00D4734C" w:rsidRPr="00181833" w:rsidRDefault="00D4734C" w:rsidP="00181833">
      <w:pPr>
        <w:pStyle w:val="Kzepesrcs12jellszn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C4D73" w:rsidRPr="00181833" w:rsidRDefault="00F62289" w:rsidP="00181833">
      <w:pPr>
        <w:pStyle w:val="Kzepesrcs12jellszn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81833">
        <w:rPr>
          <w:rFonts w:ascii="Times New Roman" w:hAnsi="Times New Roman"/>
          <w:bCs/>
          <w:i/>
          <w:iCs/>
          <w:sz w:val="24"/>
          <w:szCs w:val="24"/>
        </w:rPr>
        <w:t xml:space="preserve">Kreun II, </w:t>
      </w:r>
      <w:r w:rsidR="000D193D" w:rsidRPr="00181833">
        <w:rPr>
          <w:rFonts w:ascii="Times New Roman" w:hAnsi="Times New Roman"/>
          <w:bCs/>
          <w:i/>
          <w:iCs/>
          <w:sz w:val="24"/>
          <w:szCs w:val="24"/>
        </w:rPr>
        <w:t>Organizimi dhe funksionimi  i GVV</w:t>
      </w:r>
      <w:r w:rsidR="00135A21" w:rsidRPr="00181833">
        <w:rPr>
          <w:rFonts w:ascii="Times New Roman" w:hAnsi="Times New Roman"/>
          <w:bCs/>
          <w:i/>
          <w:iCs/>
          <w:sz w:val="24"/>
          <w:szCs w:val="24"/>
        </w:rPr>
        <w:t xml:space="preserve">-ve, </w:t>
      </w:r>
      <w:r w:rsidRPr="00181833">
        <w:rPr>
          <w:rFonts w:ascii="Times New Roman" w:hAnsi="Times New Roman"/>
          <w:bCs/>
          <w:iCs/>
          <w:sz w:val="24"/>
          <w:szCs w:val="24"/>
        </w:rPr>
        <w:t>p</w:t>
      </w:r>
      <w:r w:rsidR="006348D5">
        <w:rPr>
          <w:rFonts w:ascii="Times New Roman" w:hAnsi="Times New Roman"/>
          <w:bCs/>
          <w:iCs/>
          <w:sz w:val="24"/>
          <w:szCs w:val="24"/>
        </w:rPr>
        <w:t>ë</w:t>
      </w:r>
      <w:r w:rsidRPr="00181833">
        <w:rPr>
          <w:rFonts w:ascii="Times New Roman" w:hAnsi="Times New Roman"/>
          <w:bCs/>
          <w:iCs/>
          <w:sz w:val="24"/>
          <w:szCs w:val="24"/>
        </w:rPr>
        <w:t>rb</w:t>
      </w:r>
      <w:r w:rsidR="006348D5">
        <w:rPr>
          <w:rFonts w:ascii="Times New Roman" w:hAnsi="Times New Roman"/>
          <w:bCs/>
          <w:iCs/>
          <w:sz w:val="24"/>
          <w:szCs w:val="24"/>
        </w:rPr>
        <w:t>ë</w:t>
      </w:r>
      <w:r w:rsidRPr="00181833">
        <w:rPr>
          <w:rFonts w:ascii="Times New Roman" w:hAnsi="Times New Roman"/>
          <w:bCs/>
          <w:iCs/>
          <w:sz w:val="24"/>
          <w:szCs w:val="24"/>
        </w:rPr>
        <w:t>het nga 6 nene</w:t>
      </w:r>
      <w:r w:rsidRPr="0018183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135A21" w:rsidRPr="00181833">
        <w:rPr>
          <w:rFonts w:ascii="Times New Roman" w:hAnsi="Times New Roman"/>
          <w:bCs/>
          <w:iCs/>
          <w:sz w:val="24"/>
          <w:szCs w:val="24"/>
        </w:rPr>
        <w:t>dhe</w:t>
      </w:r>
      <w:r w:rsidR="00135A21" w:rsidRPr="0018183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D4734C" w:rsidRPr="00181833">
        <w:rPr>
          <w:rFonts w:ascii="Times New Roman" w:hAnsi="Times New Roman"/>
          <w:bCs/>
          <w:iCs/>
          <w:sz w:val="24"/>
          <w:szCs w:val="24"/>
        </w:rPr>
        <w:t>p</w:t>
      </w:r>
      <w:r w:rsidR="002561D9" w:rsidRPr="00181833">
        <w:rPr>
          <w:rFonts w:ascii="Times New Roman" w:hAnsi="Times New Roman"/>
          <w:bCs/>
          <w:iCs/>
          <w:sz w:val="24"/>
          <w:szCs w:val="24"/>
        </w:rPr>
        <w:t>ë</w:t>
      </w:r>
      <w:r w:rsidR="00D4734C" w:rsidRPr="00181833">
        <w:rPr>
          <w:rFonts w:ascii="Times New Roman" w:hAnsi="Times New Roman"/>
          <w:bCs/>
          <w:iCs/>
          <w:sz w:val="24"/>
          <w:szCs w:val="24"/>
        </w:rPr>
        <w:t>rcakton</w:t>
      </w:r>
      <w:r w:rsidR="00135A21" w:rsidRPr="00181833">
        <w:rPr>
          <w:rFonts w:ascii="Times New Roman" w:hAnsi="Times New Roman"/>
          <w:bCs/>
          <w:iCs/>
          <w:sz w:val="24"/>
          <w:szCs w:val="24"/>
        </w:rPr>
        <w:t>:</w:t>
      </w:r>
      <w:r w:rsidR="00D4734C" w:rsidRPr="0018183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4734C" w:rsidRPr="00181833">
        <w:rPr>
          <w:rFonts w:ascii="Times New Roman" w:hAnsi="Times New Roman"/>
          <w:webHidden/>
          <w:sz w:val="24"/>
          <w:szCs w:val="24"/>
        </w:rPr>
        <w:t>fush</w:t>
      </w:r>
      <w:r w:rsidR="002561D9" w:rsidRPr="00181833">
        <w:rPr>
          <w:rFonts w:ascii="Times New Roman" w:hAnsi="Times New Roman"/>
          <w:webHidden/>
          <w:sz w:val="24"/>
          <w:szCs w:val="24"/>
        </w:rPr>
        <w:t>ë</w:t>
      </w:r>
      <w:r w:rsidR="00D4734C" w:rsidRPr="00181833">
        <w:rPr>
          <w:rFonts w:ascii="Times New Roman" w:hAnsi="Times New Roman"/>
          <w:webHidden/>
          <w:sz w:val="24"/>
          <w:szCs w:val="24"/>
        </w:rPr>
        <w:t>n  e veprimit të GVV-ve</w:t>
      </w:r>
      <w:r w:rsidR="00135A21" w:rsidRPr="00181833">
        <w:rPr>
          <w:rFonts w:ascii="Times New Roman" w:hAnsi="Times New Roman"/>
          <w:webHidden/>
          <w:sz w:val="24"/>
          <w:szCs w:val="24"/>
        </w:rPr>
        <w:t>,</w:t>
      </w:r>
      <w:r w:rsidR="00D4734C" w:rsidRPr="00181833">
        <w:rPr>
          <w:rFonts w:ascii="Times New Roman" w:hAnsi="Times New Roman"/>
          <w:webHidden/>
          <w:sz w:val="24"/>
          <w:szCs w:val="24"/>
        </w:rPr>
        <w:t xml:space="preserve"> q</w:t>
      </w:r>
      <w:r w:rsidR="002561D9" w:rsidRPr="00181833">
        <w:rPr>
          <w:rFonts w:ascii="Times New Roman" w:hAnsi="Times New Roman"/>
          <w:webHidden/>
          <w:sz w:val="24"/>
          <w:szCs w:val="24"/>
        </w:rPr>
        <w:t>ë</w:t>
      </w:r>
      <w:r w:rsidR="00D4734C" w:rsidRPr="00181833">
        <w:rPr>
          <w:rFonts w:ascii="Times New Roman" w:hAnsi="Times New Roman"/>
          <w:webHidden/>
          <w:sz w:val="24"/>
          <w:szCs w:val="24"/>
        </w:rPr>
        <w:t xml:space="preserve"> </w:t>
      </w:r>
      <w:r w:rsidR="00D4734C" w:rsidRPr="00181833">
        <w:rPr>
          <w:rFonts w:ascii="Times New Roman" w:hAnsi="Times New Roman"/>
          <w:sz w:val="24"/>
          <w:szCs w:val="24"/>
        </w:rPr>
        <w:t>është mbështetja e rritjes ekonomike, sociale dhe kulturore të komuniteteve të zonës LEADER</w:t>
      </w:r>
      <w:r w:rsidR="007619C7" w:rsidRPr="00181833">
        <w:rPr>
          <w:rFonts w:ascii="Times New Roman" w:hAnsi="Times New Roman"/>
          <w:sz w:val="24"/>
          <w:szCs w:val="24"/>
        </w:rPr>
        <w:t>,</w:t>
      </w:r>
      <w:r w:rsidR="00D4734C" w:rsidRPr="00181833">
        <w:rPr>
          <w:rFonts w:ascii="Times New Roman" w:hAnsi="Times New Roman"/>
          <w:sz w:val="24"/>
          <w:szCs w:val="24"/>
        </w:rPr>
        <w:t xml:space="preserve"> përmes rritjes së vlerave të burimeve lokale dhe aseteve</w:t>
      </w:r>
      <w:r w:rsidR="00135A21" w:rsidRPr="00181833">
        <w:rPr>
          <w:rFonts w:ascii="Times New Roman" w:hAnsi="Times New Roman"/>
          <w:sz w:val="24"/>
          <w:szCs w:val="24"/>
        </w:rPr>
        <w:t>,</w:t>
      </w:r>
      <w:r w:rsidR="007619C7" w:rsidRPr="00181833">
        <w:rPr>
          <w:rFonts w:ascii="Times New Roman" w:hAnsi="Times New Roman"/>
          <w:sz w:val="24"/>
          <w:szCs w:val="24"/>
        </w:rPr>
        <w:t xml:space="preserve"> si dhe</w:t>
      </w:r>
      <w:r w:rsidR="00D4734C" w:rsidRPr="00181833">
        <w:rPr>
          <w:rFonts w:ascii="Times New Roman" w:hAnsi="Times New Roman"/>
          <w:sz w:val="24"/>
          <w:szCs w:val="24"/>
        </w:rPr>
        <w:t xml:space="preserve"> përmes hartimit e zbatimit të Strategjisë së Zhvillimit Lokal të Udhëhequr nga Komuniteti, duke p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D4734C" w:rsidRPr="00181833">
        <w:rPr>
          <w:rFonts w:ascii="Times New Roman" w:hAnsi="Times New Roman"/>
          <w:sz w:val="24"/>
          <w:szCs w:val="24"/>
        </w:rPr>
        <w:t>rcaktuar  llojet e ndryshme t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7619C7" w:rsidRPr="00181833">
        <w:rPr>
          <w:rFonts w:ascii="Times New Roman" w:hAnsi="Times New Roman"/>
          <w:sz w:val="24"/>
          <w:szCs w:val="24"/>
        </w:rPr>
        <w:t xml:space="preserve"> aktiviteteve </w:t>
      </w:r>
      <w:r w:rsidR="00D4734C" w:rsidRPr="00181833">
        <w:rPr>
          <w:rFonts w:ascii="Times New Roman" w:hAnsi="Times New Roman"/>
          <w:sz w:val="24"/>
          <w:szCs w:val="24"/>
        </w:rPr>
        <w:t>q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D4734C" w:rsidRPr="00181833">
        <w:rPr>
          <w:rFonts w:ascii="Times New Roman" w:hAnsi="Times New Roman"/>
          <w:sz w:val="24"/>
          <w:szCs w:val="24"/>
        </w:rPr>
        <w:t xml:space="preserve"> mund të promovojë GVV</w:t>
      </w:r>
      <w:r w:rsidR="007E00F3" w:rsidRPr="00181833">
        <w:rPr>
          <w:rFonts w:ascii="Times New Roman" w:hAnsi="Times New Roman"/>
          <w:sz w:val="24"/>
          <w:szCs w:val="24"/>
        </w:rPr>
        <w:t>-ja</w:t>
      </w:r>
      <w:r w:rsidR="00135A21" w:rsidRPr="00181833">
        <w:rPr>
          <w:rFonts w:ascii="Times New Roman" w:hAnsi="Times New Roman"/>
          <w:sz w:val="24"/>
          <w:szCs w:val="24"/>
        </w:rPr>
        <w:t>; struktur</w:t>
      </w:r>
      <w:r w:rsidR="006348D5">
        <w:rPr>
          <w:rFonts w:ascii="Times New Roman" w:hAnsi="Times New Roman"/>
          <w:sz w:val="24"/>
          <w:szCs w:val="24"/>
        </w:rPr>
        <w:t>ë</w:t>
      </w:r>
      <w:r w:rsidR="00135A21" w:rsidRPr="00181833">
        <w:rPr>
          <w:rFonts w:ascii="Times New Roman" w:hAnsi="Times New Roman"/>
          <w:sz w:val="24"/>
          <w:szCs w:val="24"/>
        </w:rPr>
        <w:t>n e GVV-ve, t</w:t>
      </w:r>
      <w:r w:rsidR="006348D5">
        <w:rPr>
          <w:rFonts w:ascii="Times New Roman" w:hAnsi="Times New Roman"/>
          <w:sz w:val="24"/>
          <w:szCs w:val="24"/>
        </w:rPr>
        <w:t>ë</w:t>
      </w:r>
      <w:r w:rsidR="00135A21" w:rsidRPr="00181833">
        <w:rPr>
          <w:rFonts w:ascii="Times New Roman" w:hAnsi="Times New Roman"/>
          <w:sz w:val="24"/>
          <w:szCs w:val="24"/>
        </w:rPr>
        <w:t xml:space="preserve"> cilat kri</w:t>
      </w:r>
      <w:r w:rsidR="001C4D73" w:rsidRPr="00181833">
        <w:rPr>
          <w:rFonts w:ascii="Times New Roman" w:hAnsi="Times New Roman"/>
          <w:sz w:val="24"/>
          <w:szCs w:val="24"/>
        </w:rPr>
        <w:t>johen</w:t>
      </w:r>
      <w:r w:rsidR="001027B0" w:rsidRPr="00181833">
        <w:rPr>
          <w:rFonts w:ascii="Times New Roman" w:hAnsi="Times New Roman"/>
          <w:sz w:val="24"/>
          <w:szCs w:val="24"/>
        </w:rPr>
        <w:t xml:space="preserve"> dhe funksiono</w:t>
      </w:r>
      <w:r w:rsidR="001C4D73" w:rsidRPr="00181833">
        <w:rPr>
          <w:rFonts w:ascii="Times New Roman" w:hAnsi="Times New Roman"/>
          <w:sz w:val="24"/>
          <w:szCs w:val="24"/>
        </w:rPr>
        <w:t>j</w:t>
      </w:r>
      <w:r w:rsidR="001027B0" w:rsidRPr="00181833">
        <w:rPr>
          <w:rFonts w:ascii="Times New Roman" w:hAnsi="Times New Roman"/>
          <w:sz w:val="24"/>
          <w:szCs w:val="24"/>
        </w:rPr>
        <w:t>n</w:t>
      </w:r>
      <w:r w:rsidR="001C4D73" w:rsidRPr="00181833">
        <w:rPr>
          <w:rFonts w:ascii="Times New Roman" w:hAnsi="Times New Roman"/>
          <w:sz w:val="24"/>
          <w:szCs w:val="24"/>
        </w:rPr>
        <w:t>ë</w:t>
      </w:r>
      <w:r w:rsidR="001027B0" w:rsidRPr="00181833">
        <w:rPr>
          <w:rFonts w:ascii="Times New Roman" w:hAnsi="Times New Roman"/>
          <w:sz w:val="24"/>
          <w:szCs w:val="24"/>
        </w:rPr>
        <w:t xml:space="preserve"> </w:t>
      </w:r>
      <w:r w:rsidR="007E00F3" w:rsidRPr="00181833">
        <w:rPr>
          <w:rFonts w:ascii="Times New Roman" w:hAnsi="Times New Roman"/>
          <w:sz w:val="24"/>
          <w:szCs w:val="24"/>
        </w:rPr>
        <w:t>si organizat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7E00F3" w:rsidRPr="00181833">
        <w:rPr>
          <w:rFonts w:ascii="Times New Roman" w:hAnsi="Times New Roman"/>
          <w:sz w:val="24"/>
          <w:szCs w:val="24"/>
        </w:rPr>
        <w:t xml:space="preserve"> jo-fitimprurëse sipas p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7E00F3" w:rsidRPr="00181833">
        <w:rPr>
          <w:rFonts w:ascii="Times New Roman" w:hAnsi="Times New Roman"/>
          <w:sz w:val="24"/>
          <w:szCs w:val="24"/>
        </w:rPr>
        <w:t xml:space="preserve">rcaktimeve të </w:t>
      </w:r>
      <w:r w:rsidR="001027B0" w:rsidRPr="00181833">
        <w:rPr>
          <w:rFonts w:ascii="Times New Roman" w:hAnsi="Times New Roman"/>
          <w:sz w:val="24"/>
          <w:szCs w:val="24"/>
        </w:rPr>
        <w:t>l</w:t>
      </w:r>
      <w:r w:rsidR="007E00F3" w:rsidRPr="00181833">
        <w:rPr>
          <w:rFonts w:ascii="Times New Roman" w:hAnsi="Times New Roman"/>
          <w:sz w:val="24"/>
          <w:szCs w:val="24"/>
        </w:rPr>
        <w:t xml:space="preserve">igjit </w:t>
      </w:r>
      <w:r w:rsidR="001027B0" w:rsidRPr="00181833">
        <w:rPr>
          <w:rFonts w:ascii="Times New Roman" w:hAnsi="Times New Roman"/>
          <w:sz w:val="24"/>
          <w:szCs w:val="24"/>
        </w:rPr>
        <w:t xml:space="preserve">nr. </w:t>
      </w:r>
      <w:r w:rsidR="007E00F3" w:rsidRPr="00181833">
        <w:rPr>
          <w:rFonts w:ascii="Times New Roman" w:hAnsi="Times New Roman"/>
          <w:sz w:val="24"/>
          <w:szCs w:val="24"/>
        </w:rPr>
        <w:t>8788/2001 “Mbi or</w:t>
      </w:r>
      <w:r w:rsidR="00135A21" w:rsidRPr="00181833">
        <w:rPr>
          <w:rFonts w:ascii="Times New Roman" w:hAnsi="Times New Roman"/>
          <w:sz w:val="24"/>
          <w:szCs w:val="24"/>
        </w:rPr>
        <w:t>ganizatat jo-fitimprurëse”, duke p</w:t>
      </w:r>
      <w:r w:rsidR="006348D5">
        <w:rPr>
          <w:rFonts w:ascii="Times New Roman" w:hAnsi="Times New Roman"/>
          <w:sz w:val="24"/>
          <w:szCs w:val="24"/>
        </w:rPr>
        <w:t>ë</w:t>
      </w:r>
      <w:r w:rsidR="00135A21" w:rsidRPr="00181833">
        <w:rPr>
          <w:rFonts w:ascii="Times New Roman" w:hAnsi="Times New Roman"/>
          <w:sz w:val="24"/>
          <w:szCs w:val="24"/>
        </w:rPr>
        <w:t xml:space="preserve">rcaktuar </w:t>
      </w:r>
      <w:r w:rsidR="001027B0" w:rsidRPr="00181833">
        <w:rPr>
          <w:rFonts w:ascii="Times New Roman" w:hAnsi="Times New Roman"/>
          <w:sz w:val="24"/>
          <w:szCs w:val="24"/>
        </w:rPr>
        <w:t>edhe s</w:t>
      </w:r>
      <w:r w:rsidR="007E00F3" w:rsidRPr="00181833">
        <w:rPr>
          <w:rFonts w:ascii="Times New Roman" w:hAnsi="Times New Roman"/>
          <w:sz w:val="24"/>
          <w:szCs w:val="24"/>
        </w:rPr>
        <w:t>truktur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1027B0" w:rsidRPr="00181833">
        <w:rPr>
          <w:rFonts w:ascii="Times New Roman" w:hAnsi="Times New Roman"/>
          <w:sz w:val="24"/>
          <w:szCs w:val="24"/>
        </w:rPr>
        <w:t xml:space="preserve">n </w:t>
      </w:r>
      <w:r w:rsidR="007E00F3" w:rsidRPr="00181833">
        <w:rPr>
          <w:rFonts w:ascii="Times New Roman" w:hAnsi="Times New Roman"/>
          <w:sz w:val="24"/>
          <w:szCs w:val="24"/>
        </w:rPr>
        <w:t xml:space="preserve">e brendshme </w:t>
      </w:r>
      <w:r w:rsidR="001027B0" w:rsidRPr="00181833">
        <w:rPr>
          <w:rFonts w:ascii="Times New Roman" w:hAnsi="Times New Roman"/>
          <w:sz w:val="24"/>
          <w:szCs w:val="24"/>
        </w:rPr>
        <w:t>q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1027B0" w:rsidRPr="00181833">
        <w:rPr>
          <w:rFonts w:ascii="Times New Roman" w:hAnsi="Times New Roman"/>
          <w:sz w:val="24"/>
          <w:szCs w:val="24"/>
        </w:rPr>
        <w:t xml:space="preserve"> </w:t>
      </w:r>
      <w:r w:rsidR="007E00F3" w:rsidRPr="00181833">
        <w:rPr>
          <w:rFonts w:ascii="Times New Roman" w:hAnsi="Times New Roman"/>
          <w:sz w:val="24"/>
          <w:szCs w:val="24"/>
        </w:rPr>
        <w:t>p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7E00F3" w:rsidRPr="00181833">
        <w:rPr>
          <w:rFonts w:ascii="Times New Roman" w:hAnsi="Times New Roman"/>
          <w:sz w:val="24"/>
          <w:szCs w:val="24"/>
        </w:rPr>
        <w:t>rb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7E00F3" w:rsidRPr="00181833">
        <w:rPr>
          <w:rFonts w:ascii="Times New Roman" w:hAnsi="Times New Roman"/>
          <w:sz w:val="24"/>
          <w:szCs w:val="24"/>
        </w:rPr>
        <w:t xml:space="preserve">het nga: </w:t>
      </w:r>
      <w:bookmarkStart w:id="0" w:name="_Hlk513121695"/>
    </w:p>
    <w:p w:rsidR="001C4D73" w:rsidRPr="00181833" w:rsidRDefault="007E00F3" w:rsidP="00181833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Asamble</w:t>
      </w:r>
      <w:r w:rsidR="001027B0" w:rsidRPr="00181833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e Përgjithshme</w:t>
      </w:r>
      <w:r w:rsidR="001C4D73" w:rsidRPr="00181833"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1027B0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C4D73" w:rsidRPr="00181833" w:rsidRDefault="007E00F3" w:rsidP="00181833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Bordi</w:t>
      </w:r>
      <w:bookmarkEnd w:id="0"/>
      <w:r w:rsidR="001C4D73" w:rsidRPr="00181833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00A89" w:rsidRPr="00181833" w:rsidRDefault="00946A4E" w:rsidP="00181833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Personeli</w:t>
      </w:r>
      <w:r w:rsidR="001C4D73" w:rsidRPr="00181833">
        <w:rPr>
          <w:rFonts w:ascii="Times New Roman" w:hAnsi="Times New Roman" w:cs="Times New Roman"/>
          <w:sz w:val="24"/>
          <w:szCs w:val="24"/>
          <w:lang w:val="sq-AL"/>
        </w:rPr>
        <w:t>, që do të përfshijë të paktën,</w:t>
      </w:r>
      <w:r w:rsidR="007E00F3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Drejtorin Ekzekutiv</w:t>
      </w:r>
      <w:r w:rsidR="001027B0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906110">
        <w:rPr>
          <w:rFonts w:ascii="Times New Roman" w:hAnsi="Times New Roman" w:cs="Times New Roman"/>
          <w:sz w:val="24"/>
          <w:szCs w:val="24"/>
          <w:lang w:val="sq-AL"/>
        </w:rPr>
        <w:t>Kontabilistin,</w:t>
      </w:r>
      <w:r w:rsidR="001C4D73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si dhe organizimin e se</w:t>
      </w:r>
      <w:r w:rsidR="00135A21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cilit prej tyre; </w:t>
      </w:r>
    </w:p>
    <w:p w:rsidR="001C4D73" w:rsidRPr="00181833" w:rsidRDefault="001C4D73" w:rsidP="006348D5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funksionet e</w:t>
      </w:r>
      <w:r w:rsidR="001027B0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GVV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-ve, t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ë cilët</w:t>
      </w:r>
      <w:r w:rsidR="001027B0" w:rsidRPr="00181833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 xml:space="preserve"> </w:t>
      </w:r>
      <w:r w:rsidR="008945E2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gjatë zbatimit të strategjisë së zhvillimit lokal të udhëhequr nga komuniteti, </w:t>
      </w:r>
      <w:r w:rsidR="007619C7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duhet </w:t>
      </w:r>
      <w:r w:rsidR="008945E2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të jetë në gjendje të kryejnë 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7619C7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to </w:t>
      </w:r>
      <w:r w:rsidR="008945E2" w:rsidRPr="00181833">
        <w:rPr>
          <w:rFonts w:ascii="Times New Roman" w:hAnsi="Times New Roman" w:cs="Times New Roman"/>
          <w:sz w:val="24"/>
          <w:szCs w:val="24"/>
          <w:lang w:val="sq-AL"/>
        </w:rPr>
        <w:t>funksione</w:t>
      </w:r>
      <w:r w:rsidR="003E45B4" w:rsidRPr="00181833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8945E2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C4D73" w:rsidRPr="00181833" w:rsidRDefault="008945E2" w:rsidP="00181833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të krijojë kapacitetet e aktorëve </w:t>
      </w:r>
      <w:r w:rsidR="003E45B4" w:rsidRPr="00181833">
        <w:rPr>
          <w:rFonts w:ascii="Times New Roman" w:hAnsi="Times New Roman" w:cs="Times New Roman"/>
          <w:sz w:val="24"/>
          <w:szCs w:val="24"/>
          <w:lang w:val="sq-AL"/>
        </w:rPr>
        <w:t>lo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3E45B4" w:rsidRPr="00181833">
        <w:rPr>
          <w:rFonts w:ascii="Times New Roman" w:hAnsi="Times New Roman" w:cs="Times New Roman"/>
          <w:sz w:val="24"/>
          <w:szCs w:val="24"/>
          <w:lang w:val="sq-AL"/>
        </w:rPr>
        <w:t>ale;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C4D73" w:rsidRPr="00181833" w:rsidRDefault="008945E2" w:rsidP="00181833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të hartojë një procedurë seleksionimi jo-diskriminuese dhe transparente dhe të përcaktojë kritere objektive për seleksionimin e projekteve</w:t>
      </w:r>
      <w:r w:rsidR="003E45B4" w:rsidRPr="00181833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C4D73" w:rsidRPr="00181833" w:rsidRDefault="008945E2" w:rsidP="00181833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të sigurojë koherencë me strategjinë e zhvillimit lokal të udhëhequr nga komuniteti kur seleksionon projektet</w:t>
      </w:r>
      <w:r w:rsidR="003E45B4" w:rsidRPr="00181833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C4D73" w:rsidRPr="00181833" w:rsidRDefault="008945E2" w:rsidP="00181833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të përgatisë dhe publikojë kërkesa për propozime ose një procedurë të vazhdueshme të paraqitjes së projekteve</w:t>
      </w:r>
      <w:r w:rsidR="003E45B4" w:rsidRPr="00181833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C4D73" w:rsidRPr="00181833" w:rsidRDefault="008945E2" w:rsidP="00181833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të marrë dhe vlerësojë aplikimet për mbështetje;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C4D73" w:rsidRPr="00181833" w:rsidRDefault="008945E2" w:rsidP="00181833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1C4D73" w:rsidRPr="00181833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C4D73" w:rsidRPr="00181833">
        <w:rPr>
          <w:rFonts w:ascii="Times New Roman" w:hAnsi="Times New Roman" w:cs="Times New Roman"/>
          <w:sz w:val="24"/>
          <w:szCs w:val="24"/>
          <w:lang w:val="sq-AL"/>
        </w:rPr>
        <w:t>rzgjedhë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projektet dhe të përcaktojë masën e mbështetjes</w:t>
      </w:r>
      <w:r w:rsidR="003E45B4" w:rsidRPr="00181833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C4D73" w:rsidRPr="00181833" w:rsidRDefault="008945E2" w:rsidP="00181833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lastRenderedPageBreak/>
        <w:t>të monitorojë dhe zbatoje strategji të zhvillimit lokal të udhëhequra nga komuniteti dhe projektet e mbështetura</w:t>
      </w:r>
      <w:r w:rsidR="003E45B4" w:rsidRPr="00181833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8945E2" w:rsidRPr="00181833" w:rsidRDefault="008945E2" w:rsidP="00181833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946A4E">
        <w:rPr>
          <w:rFonts w:ascii="Times New Roman" w:hAnsi="Times New Roman" w:cs="Times New Roman"/>
          <w:sz w:val="24"/>
          <w:szCs w:val="24"/>
          <w:lang w:val="sq-AL"/>
        </w:rPr>
        <w:t>gjallërojë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Start w:id="1" w:name="_Hlk513310999"/>
      <w:r w:rsidRPr="00181833">
        <w:rPr>
          <w:rFonts w:ascii="Times New Roman" w:hAnsi="Times New Roman" w:cs="Times New Roman"/>
          <w:sz w:val="24"/>
          <w:szCs w:val="24"/>
          <w:lang w:val="sq-AL"/>
        </w:rPr>
        <w:t>strategji</w:t>
      </w:r>
      <w:bookmarkEnd w:id="1"/>
      <w:r w:rsidRPr="00181833">
        <w:rPr>
          <w:rFonts w:ascii="Times New Roman" w:hAnsi="Times New Roman" w:cs="Times New Roman"/>
          <w:sz w:val="24"/>
          <w:szCs w:val="24"/>
          <w:lang w:val="sq-AL"/>
        </w:rPr>
        <w:t>në e zhvillimit lokal të udhëhequr nga komuniteti për të mundësuar shkëmbime mes aktorëve për sigurimin e informacionit dhe promovimin e strategjisë, dhe të mbështesë përfituesit potencialë duke synuar zhvillimin e projekte</w:t>
      </w:r>
      <w:r w:rsidR="00135A21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ve dhe përgatitjen e aplikimeve; </w:t>
      </w:r>
    </w:p>
    <w:p w:rsidR="004E2166" w:rsidRPr="00181833" w:rsidRDefault="00303127" w:rsidP="001818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organizimin e GVV</w:t>
      </w:r>
      <w:r w:rsidR="001C4D73" w:rsidRPr="00181833">
        <w:rPr>
          <w:rFonts w:ascii="Times New Roman" w:hAnsi="Times New Roman" w:cs="Times New Roman"/>
          <w:sz w:val="24"/>
          <w:szCs w:val="24"/>
          <w:lang w:val="sq-AL"/>
        </w:rPr>
        <w:t>-ve</w:t>
      </w:r>
      <w:r w:rsidR="007619C7" w:rsidRPr="0018183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gjatë realizimit të misionit të tij publik, kryhen aktivitete në përputhje me parimet e një prokurimi publik efektiv, transparent dhe llogaridhënës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si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dhe me parimet e menaxhimit të qëndrueshëm financiar, 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sipas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igji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619C7" w:rsidRPr="00181833">
        <w:rPr>
          <w:rFonts w:ascii="Times New Roman" w:hAnsi="Times New Roman" w:cs="Times New Roman"/>
          <w:sz w:val="24"/>
          <w:szCs w:val="24"/>
          <w:lang w:val="sq-AL"/>
        </w:rPr>
        <w:t>r.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10296/2010 “Mbi menaxhimin dhe kontrollin financiar”. </w:t>
      </w:r>
      <w:r w:rsidR="007619C7" w:rsidRPr="00181833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9F1F9E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or pa rënë ndesh me kërkesat e ligjit të sipërpërmendur, </w:t>
      </w:r>
      <w:r w:rsidR="007619C7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Asambleja e Përgjithshme e GVV</w:t>
      </w:r>
      <w:r w:rsidR="009F1F9E" w:rsidRPr="00181833">
        <w:rPr>
          <w:rFonts w:ascii="Times New Roman" w:hAnsi="Times New Roman" w:cs="Times New Roman"/>
          <w:sz w:val="24"/>
          <w:szCs w:val="24"/>
          <w:lang w:val="sq-AL"/>
        </w:rPr>
        <w:t>-ve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duhet të miratoj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një rregullore të brendshme </w:t>
      </w:r>
      <w:r w:rsidR="007619C7" w:rsidRPr="00181833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="009F1F9E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procedurat e funksionimit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GVV</w:t>
      </w:r>
      <w:r w:rsidR="009F1F9E" w:rsidRPr="00181833">
        <w:rPr>
          <w:rFonts w:ascii="Times New Roman" w:hAnsi="Times New Roman" w:cs="Times New Roman"/>
          <w:sz w:val="24"/>
          <w:szCs w:val="24"/>
          <w:lang w:val="sq-AL"/>
        </w:rPr>
        <w:t>-ve</w:t>
      </w:r>
      <w:r w:rsidR="00CD0035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; </w:t>
      </w:r>
    </w:p>
    <w:p w:rsidR="009F1F9E" w:rsidRPr="00181833" w:rsidRDefault="00303127" w:rsidP="001818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>instrumentet financiare</w:t>
      </w:r>
      <w:r w:rsidR="007619C7" w:rsidRPr="0018183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për financimin e GVV</w:t>
      </w:r>
      <w:r w:rsidR="009F1F9E" w:rsidRPr="00181833">
        <w:rPr>
          <w:rFonts w:ascii="Times New Roman" w:hAnsi="Times New Roman" w:cs="Times New Roman"/>
          <w:sz w:val="24"/>
          <w:szCs w:val="24"/>
          <w:lang w:val="sq-AL"/>
        </w:rPr>
        <w:t>-ve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D0035" w:rsidRPr="00181833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6348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D0035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miratohen nga Asambleja e Përgjithshme dhe përfshijnë: </w:t>
      </w:r>
    </w:p>
    <w:p w:rsidR="009F1F9E" w:rsidRPr="00181833" w:rsidRDefault="001E4633" w:rsidP="00181833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webHidden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t</w:t>
      </w:r>
      <w:r w:rsidR="00303127"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 xml:space="preserve">arifën e </w:t>
      </w:r>
      <w:r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a</w:t>
      </w:r>
      <w:r w:rsidR="00303127"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 xml:space="preserve">nëtarësimit; </w:t>
      </w:r>
    </w:p>
    <w:p w:rsidR="009F1F9E" w:rsidRPr="00181833" w:rsidRDefault="002561D9" w:rsidP="00181833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webHidden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g</w:t>
      </w:r>
      <w:r w:rsidR="00303127"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 xml:space="preserve">rante; </w:t>
      </w:r>
    </w:p>
    <w:p w:rsidR="009F1F9E" w:rsidRPr="00181833" w:rsidRDefault="001E4633" w:rsidP="00181833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webHidden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k</w:t>
      </w:r>
      <w:r w:rsidR="00303127"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 xml:space="preserve">redi; </w:t>
      </w:r>
    </w:p>
    <w:p w:rsidR="009F1F9E" w:rsidRPr="00181833" w:rsidRDefault="001E4633" w:rsidP="00181833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webHidden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s</w:t>
      </w:r>
      <w:r w:rsidR="00303127"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 xml:space="preserve">kema garancie; </w:t>
      </w:r>
    </w:p>
    <w:p w:rsidR="009F1F9E" w:rsidRPr="00181833" w:rsidRDefault="001E4633" w:rsidP="00181833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webHidden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p</w:t>
      </w:r>
      <w:r w:rsidR="009F1F9E"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jesëmarrje me aksione (në para</w:t>
      </w:r>
      <w:r w:rsidR="00303127"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/në natyrë);</w:t>
      </w:r>
    </w:p>
    <w:p w:rsidR="00303127" w:rsidRDefault="001E4633" w:rsidP="00181833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webHidden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p</w:t>
      </w:r>
      <w:r w:rsidR="00303127"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 xml:space="preserve">artneritete </w:t>
      </w:r>
      <w:r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p</w:t>
      </w:r>
      <w:r w:rsidR="00303127"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ublik-</w:t>
      </w:r>
      <w:r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p</w:t>
      </w:r>
      <w:r w:rsidR="00303127" w:rsidRPr="00181833">
        <w:rPr>
          <w:rFonts w:ascii="Times New Roman" w:hAnsi="Times New Roman" w:cs="Times New Roman"/>
          <w:webHidden/>
          <w:sz w:val="24"/>
          <w:szCs w:val="24"/>
          <w:lang w:val="sq-AL"/>
        </w:rPr>
        <w:t>rivat</w:t>
      </w:r>
    </w:p>
    <w:p w:rsidR="0003579D" w:rsidRPr="00181833" w:rsidRDefault="0003579D" w:rsidP="00181833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webHidden/>
          <w:sz w:val="24"/>
          <w:szCs w:val="24"/>
          <w:lang w:val="sq-AL"/>
        </w:rPr>
      </w:pPr>
      <w:r>
        <w:rPr>
          <w:rFonts w:ascii="Times New Roman" w:hAnsi="Times New Roman" w:cs="Times New Roman"/>
          <w:webHidden/>
          <w:sz w:val="24"/>
          <w:szCs w:val="24"/>
          <w:lang w:val="sq-AL"/>
        </w:rPr>
        <w:t>burime t</w:t>
      </w:r>
      <w:r w:rsidR="00920646">
        <w:rPr>
          <w:rFonts w:ascii="Times New Roman" w:hAnsi="Times New Roman" w:cs="Times New Roman"/>
          <w:webHidden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webHidden/>
          <w:sz w:val="24"/>
          <w:szCs w:val="24"/>
          <w:lang w:val="sq-AL"/>
        </w:rPr>
        <w:t xml:space="preserve"> tjera t</w:t>
      </w:r>
      <w:r w:rsidR="00920646">
        <w:rPr>
          <w:rFonts w:ascii="Times New Roman" w:hAnsi="Times New Roman" w:cs="Times New Roman"/>
          <w:webHidden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webHidden/>
          <w:sz w:val="24"/>
          <w:szCs w:val="24"/>
          <w:lang w:val="sq-AL"/>
        </w:rPr>
        <w:t xml:space="preserve"> ligjshme</w:t>
      </w:r>
    </w:p>
    <w:p w:rsidR="001027B0" w:rsidRPr="00181833" w:rsidRDefault="00CD0035" w:rsidP="00181833">
      <w:pPr>
        <w:pStyle w:val="Kzepesrcs12jellszn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A3466">
        <w:rPr>
          <w:rFonts w:ascii="Times New Roman" w:hAnsi="Times New Roman"/>
          <w:bCs/>
          <w:iCs/>
          <w:sz w:val="24"/>
          <w:szCs w:val="24"/>
        </w:rPr>
        <w:t>Si dhe</w:t>
      </w:r>
      <w:r w:rsidR="001E4633" w:rsidRPr="00181833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1E4633" w:rsidRPr="00181833">
        <w:rPr>
          <w:rFonts w:ascii="Times New Roman" w:hAnsi="Times New Roman"/>
          <w:bCs/>
          <w:iCs/>
          <w:sz w:val="24"/>
          <w:szCs w:val="24"/>
        </w:rPr>
        <w:t>p</w:t>
      </w:r>
      <w:r w:rsidR="002561D9" w:rsidRPr="00181833">
        <w:rPr>
          <w:rFonts w:ascii="Times New Roman" w:hAnsi="Times New Roman"/>
          <w:bCs/>
          <w:iCs/>
          <w:sz w:val="24"/>
          <w:szCs w:val="24"/>
        </w:rPr>
        <w:t>ë</w:t>
      </w:r>
      <w:r w:rsidR="001E4633" w:rsidRPr="00181833">
        <w:rPr>
          <w:rFonts w:ascii="Times New Roman" w:hAnsi="Times New Roman"/>
          <w:bCs/>
          <w:iCs/>
          <w:sz w:val="24"/>
          <w:szCs w:val="24"/>
        </w:rPr>
        <w:t>rcakton</w:t>
      </w:r>
      <w:r w:rsidR="001E4633" w:rsidRPr="00181833">
        <w:rPr>
          <w:rFonts w:ascii="Times New Roman" w:hAnsi="Times New Roman"/>
          <w:sz w:val="24"/>
          <w:szCs w:val="24"/>
        </w:rPr>
        <w:t xml:space="preserve"> konflikt</w:t>
      </w:r>
      <w:r w:rsidR="002561D9" w:rsidRPr="00181833">
        <w:rPr>
          <w:rFonts w:ascii="Times New Roman" w:hAnsi="Times New Roman"/>
          <w:sz w:val="24"/>
          <w:szCs w:val="24"/>
        </w:rPr>
        <w:t xml:space="preserve">in e </w:t>
      </w:r>
      <w:r w:rsidR="001E4633" w:rsidRPr="00181833">
        <w:rPr>
          <w:rFonts w:ascii="Times New Roman" w:hAnsi="Times New Roman"/>
          <w:sz w:val="24"/>
          <w:szCs w:val="24"/>
        </w:rPr>
        <w:t xml:space="preserve"> interesit</w:t>
      </w:r>
      <w:r w:rsidR="002561D9" w:rsidRPr="00181833">
        <w:rPr>
          <w:rFonts w:ascii="Times New Roman" w:hAnsi="Times New Roman"/>
          <w:sz w:val="24"/>
          <w:szCs w:val="24"/>
        </w:rPr>
        <w:t xml:space="preserve">, </w:t>
      </w:r>
      <w:r w:rsidR="001E4633" w:rsidRPr="00181833">
        <w:rPr>
          <w:rFonts w:ascii="Times New Roman" w:hAnsi="Times New Roman"/>
          <w:sz w:val="24"/>
          <w:szCs w:val="24"/>
        </w:rPr>
        <w:t xml:space="preserve"> që ka potencialin të cënojë paanësinë për shkak të konfliktit të mundshëm ndërmjet interesave individuale, kolektive, profesionale ose publike si dhe adreson kriteret mbi konfliktin e interesit</w:t>
      </w:r>
      <w:r w:rsidR="002561D9" w:rsidRPr="00181833">
        <w:rPr>
          <w:rFonts w:ascii="Times New Roman" w:hAnsi="Times New Roman"/>
          <w:sz w:val="24"/>
          <w:szCs w:val="24"/>
        </w:rPr>
        <w:t>,</w:t>
      </w:r>
      <w:r w:rsidR="001E4633" w:rsidRPr="00181833">
        <w:rPr>
          <w:rFonts w:ascii="Times New Roman" w:hAnsi="Times New Roman"/>
          <w:sz w:val="24"/>
          <w:szCs w:val="24"/>
        </w:rPr>
        <w:t xml:space="preserve"> t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1E4633" w:rsidRPr="00181833">
        <w:rPr>
          <w:rFonts w:ascii="Times New Roman" w:hAnsi="Times New Roman"/>
          <w:sz w:val="24"/>
          <w:szCs w:val="24"/>
        </w:rPr>
        <w:t xml:space="preserve"> cilat duhet të p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1E4633" w:rsidRPr="00181833">
        <w:rPr>
          <w:rFonts w:ascii="Times New Roman" w:hAnsi="Times New Roman"/>
          <w:sz w:val="24"/>
          <w:szCs w:val="24"/>
        </w:rPr>
        <w:t>rcaktohen n</w:t>
      </w:r>
      <w:r w:rsidR="002561D9" w:rsidRPr="00181833">
        <w:rPr>
          <w:rFonts w:ascii="Times New Roman" w:hAnsi="Times New Roman"/>
          <w:sz w:val="24"/>
          <w:szCs w:val="24"/>
        </w:rPr>
        <w:t>ë</w:t>
      </w:r>
      <w:r w:rsidR="001E4633" w:rsidRPr="00181833">
        <w:rPr>
          <w:rFonts w:ascii="Times New Roman" w:hAnsi="Times New Roman"/>
          <w:sz w:val="24"/>
          <w:szCs w:val="24"/>
        </w:rPr>
        <w:t xml:space="preserve"> rregulloren e brendshme të GVV</w:t>
      </w:r>
      <w:r w:rsidR="009F1F9E" w:rsidRPr="00181833">
        <w:rPr>
          <w:rFonts w:ascii="Times New Roman" w:hAnsi="Times New Roman"/>
          <w:sz w:val="24"/>
          <w:szCs w:val="24"/>
        </w:rPr>
        <w:t>-ve</w:t>
      </w:r>
      <w:r w:rsidR="001E4633" w:rsidRPr="00181833">
        <w:rPr>
          <w:rFonts w:ascii="Times New Roman" w:hAnsi="Times New Roman"/>
          <w:sz w:val="24"/>
          <w:szCs w:val="24"/>
        </w:rPr>
        <w:t xml:space="preserve">. </w:t>
      </w:r>
    </w:p>
    <w:p w:rsidR="001E4633" w:rsidRPr="00181833" w:rsidRDefault="001E4633" w:rsidP="00181833">
      <w:pPr>
        <w:pStyle w:val="Kzepesrcs12jellszn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27725" w:rsidRPr="00181833" w:rsidRDefault="00CD0035" w:rsidP="0018183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Kreu III</w:t>
      </w:r>
      <w:r w:rsidR="001E4633" w:rsidRPr="00181833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,</w:t>
      </w:r>
      <w:r w:rsidRPr="00181833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 xml:space="preserve"> Regjistrimi GVV-ve, 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p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rb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het nga 3 nene</w:t>
      </w:r>
      <w:r w:rsidRPr="00181833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 xml:space="preserve"> 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dhe </w:t>
      </w:r>
      <w:r w:rsidR="001E4633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p</w:t>
      </w:r>
      <w:r w:rsidR="002561D9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="001E4633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rcakto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n: procedurat e </w:t>
      </w:r>
      <w:r w:rsidR="00906110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njohjes dhe 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regjistrimit t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GVV-ve </w:t>
      </w:r>
      <w:r w:rsidR="00906110">
        <w:rPr>
          <w:rFonts w:ascii="Times New Roman" w:hAnsi="Times New Roman" w:cs="Times New Roman"/>
          <w:bCs/>
          <w:iCs/>
          <w:sz w:val="24"/>
          <w:szCs w:val="24"/>
          <w:lang w:val="sq-AL"/>
        </w:rPr>
        <w:t>me autorizim të Ministrit pas plotësimit të kërkesave të përcaktuara, në regjistrin që do të krijohet sipas modelit të miratuar me urdhër Ministri,</w:t>
      </w:r>
      <w:r w:rsidR="00C640E9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si dhe raportimin dhe vler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="00C640E9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simin e GVV-ve mbi baza vjetore, sipas p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="00C640E9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rcaktimeve q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="00C640E9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do t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="00C640E9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miratohen me urdh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="00C640E9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r t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="00C640E9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Ministrit.</w:t>
      </w:r>
      <w:r w:rsidR="001E4633"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</w:t>
      </w:r>
    </w:p>
    <w:p w:rsidR="009D4CE4" w:rsidRPr="00181833" w:rsidRDefault="009D4CE4" w:rsidP="0018183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</w:p>
    <w:p w:rsidR="007A0117" w:rsidRPr="00181833" w:rsidRDefault="009D4CE4" w:rsidP="0018183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81833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Kreu IV, Dispozita t</w:t>
      </w:r>
      <w:r w:rsidR="006348D5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 xml:space="preserve"> fundit, 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p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rb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>ht nga 2 nene dhe p</w:t>
      </w:r>
      <w:r w:rsidR="006348D5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Pr="00181833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rcakton: </w:t>
      </w:r>
      <w:bookmarkStart w:id="2" w:name="_Toc449777227"/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nxjerrjen e </w:t>
      </w:r>
      <w:bookmarkEnd w:id="2"/>
      <w:r w:rsidRPr="00181833">
        <w:rPr>
          <w:rFonts w:ascii="Times New Roman" w:hAnsi="Times New Roman" w:cs="Times New Roman"/>
          <w:sz w:val="24"/>
          <w:szCs w:val="24"/>
          <w:lang w:val="sq-AL"/>
        </w:rPr>
        <w:t>akteve nënligjore nga Ministri,</w:t>
      </w:r>
      <w:r w:rsidR="002561D9"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brenda 12 muajve nga hyrja në fuqi e këtij ligji; si dhe </w:t>
      </w:r>
      <w:r w:rsidR="002561D9" w:rsidRPr="00181833">
        <w:rPr>
          <w:rFonts w:ascii="Times New Roman" w:hAnsi="Times New Roman" w:cs="Times New Roman"/>
          <w:bCs/>
          <w:iCs/>
          <w:sz w:val="24"/>
          <w:szCs w:val="24"/>
        </w:rPr>
        <w:t>përcakton hyrjen në fuqi të këtij ligji, 15 ditë pas botimit në Fletoren Zyrtare.</w:t>
      </w:r>
    </w:p>
    <w:p w:rsidR="007A0117" w:rsidRPr="00181833" w:rsidRDefault="007A0117" w:rsidP="0018183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27725" w:rsidRPr="00181833" w:rsidRDefault="002561D9" w:rsidP="00181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A566C2" w:rsidRPr="00181833" w:rsidRDefault="001A526C" w:rsidP="001818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VII. </w:t>
      </w:r>
      <w:r w:rsidR="00A566C2"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INSTITUCIONET DHE ORGANET QË NGARKOHEN PËR ZBATIMIN E AKTIT</w:t>
      </w:r>
    </w:p>
    <w:p w:rsidR="00DD678B" w:rsidRPr="00181833" w:rsidRDefault="00DD678B" w:rsidP="0018183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A526C" w:rsidRPr="00181833" w:rsidRDefault="001A526C" w:rsidP="0018183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Institucionet e ngarkuara për zbatimin e këtij projektligji janë Ministria e Bujqësisë dhe Zhvillimit Rural </w:t>
      </w:r>
      <w:r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d</w:t>
      </w:r>
      <w:r w:rsidR="002561D9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he 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nj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sit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e vet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21F2E">
        <w:rPr>
          <w:rFonts w:ascii="Times New Roman" w:eastAsia="Calibri" w:hAnsi="Times New Roman" w:cs="Times New Roman"/>
          <w:sz w:val="24"/>
          <w:szCs w:val="24"/>
          <w:lang w:val="sq-AL"/>
        </w:rPr>
        <w:t>qeverisjes vendore bashkit</w:t>
      </w:r>
      <w:r w:rsidR="0092064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21F2E">
        <w:rPr>
          <w:rFonts w:ascii="Times New Roman" w:eastAsia="Calibri" w:hAnsi="Times New Roman" w:cs="Times New Roman"/>
          <w:sz w:val="24"/>
          <w:szCs w:val="24"/>
          <w:lang w:val="sq-AL"/>
        </w:rPr>
        <w:t>/qarqet.</w:t>
      </w:r>
    </w:p>
    <w:p w:rsidR="001A526C" w:rsidRPr="00181833" w:rsidRDefault="001A526C" w:rsidP="0018183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A566C2" w:rsidRPr="00181833" w:rsidRDefault="001A526C" w:rsidP="0018183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VIII.  </w:t>
      </w:r>
      <w:r w:rsidR="00A566C2" w:rsidRPr="00181833">
        <w:rPr>
          <w:rFonts w:ascii="Times New Roman" w:eastAsia="Calibri" w:hAnsi="Times New Roman" w:cs="Times New Roman"/>
          <w:b/>
          <w:sz w:val="24"/>
          <w:szCs w:val="24"/>
          <w:lang w:val="sq-AL"/>
        </w:rPr>
        <w:t>PERSONAT DHE INSTITUCIONET QË KANË KONTRIBUAR NË HARTIMIN E PROJEKTAKTIT</w:t>
      </w:r>
    </w:p>
    <w:p w:rsidR="00A566C2" w:rsidRPr="00181833" w:rsidRDefault="00A566C2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green"/>
          <w:lang w:val="sq-AL"/>
        </w:rPr>
      </w:pPr>
    </w:p>
    <w:p w:rsidR="00DF7F28" w:rsidRPr="00181833" w:rsidRDefault="001A526C" w:rsidP="0018183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Ky projektligj është hartuar nga grupi i pun</w:t>
      </w:r>
      <w:r w:rsidR="00D4734C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s i ngritur me urdhrin e ministrit n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r. 151 </w:t>
      </w:r>
      <w:r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dat</w:t>
      </w:r>
      <w:r w:rsidR="00D4734C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6.4.2018</w:t>
      </w:r>
      <w:r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“P</w:t>
      </w:r>
      <w:r w:rsidR="00D4734C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ngritjen e grup</w:t>
      </w:r>
      <w:r w:rsidR="00F71D44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t t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pun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s p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r p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rgatitjen e projektligjit mbi zbatimin e qasjes L</w:t>
      </w:r>
      <w:r w:rsidR="00F71D44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EADER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dhe ngritjen e grupeve vendore t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veprimit</w:t>
      </w:r>
      <w:r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. Grupi i pun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 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mb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shtetur </w:t>
      </w:r>
      <w:r w:rsidR="007A0117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me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ekspert</w:t>
      </w:r>
      <w:r w:rsidR="006348D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nd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rkomb</w:t>
      </w:r>
      <w:r w:rsidR="00B8177E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tar </w:t>
      </w:r>
      <w:r w:rsidR="007A0117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dhe komb</w:t>
      </w:r>
      <w:r w:rsidR="006348D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7A0117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tar nga Kooperacioni</w:t>
      </w:r>
      <w:r w:rsidR="00BE493B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Italian. </w:t>
      </w:r>
    </w:p>
    <w:p w:rsidR="00B802EC" w:rsidRDefault="00B802EC" w:rsidP="00B802EC">
      <w:pPr>
        <w:pStyle w:val="ListParagraph"/>
        <w:tabs>
          <w:tab w:val="left" w:pos="1080"/>
          <w:tab w:val="left" w:pos="1440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B802EC" w:rsidRDefault="00B802EC" w:rsidP="00B802EC">
      <w:pPr>
        <w:pStyle w:val="ListParagraph"/>
        <w:numPr>
          <w:ilvl w:val="0"/>
          <w:numId w:val="37"/>
        </w:num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p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r mendim: </w:t>
      </w:r>
    </w:p>
    <w:p w:rsidR="00A566C2" w:rsidRPr="00B802EC" w:rsidRDefault="000B008A" w:rsidP="00B802EC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Projektligji 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p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mendim n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Ministrin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Drejt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sis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Ministrin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Financ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dhe Ekonomis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Ministrin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Evrop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 dhe Pun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 e Jashtme</w:t>
      </w:r>
      <w:r w:rsidR="00520EC2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Ministrin</w:t>
      </w:r>
      <w:r w:rsidR="006348D5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520EC2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Brendshme, si dhe n</w:t>
      </w:r>
      <w:r w:rsidR="00920646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520EC2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Sekretariatin Teknik t</w:t>
      </w:r>
      <w:r w:rsidR="00920646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520EC2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931AAC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</w:t>
      </w:r>
      <w:r w:rsidR="00920646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520EC2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shillit</w:t>
      </w:r>
      <w:r w:rsidR="00931AAC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Konsultativ n</w:t>
      </w:r>
      <w:r w:rsidR="00920646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931AAC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Agjencin</w:t>
      </w:r>
      <w:r w:rsidR="00920646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931AAC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920646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931AAC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Mb</w:t>
      </w:r>
      <w:r w:rsidR="00920646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931AAC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shtetjen e Vetqeverisjes Vendore.</w:t>
      </w:r>
      <w:r w:rsidR="00520EC2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</w:t>
      </w:r>
    </w:p>
    <w:p w:rsidR="006348D5" w:rsidRDefault="006348D5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0B008A" w:rsidRPr="00181833" w:rsidRDefault="000B008A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Komentet e ministrive jan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konsideruar dhe reflektuar pjes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risht</w:t>
      </w:r>
      <w:r w:rsidR="001A346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si më poshtë:</w:t>
      </w:r>
    </w:p>
    <w:p w:rsidR="006348D5" w:rsidRDefault="006348D5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0B008A" w:rsidRPr="00181833" w:rsidRDefault="000B008A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e Drejt</w:t>
      </w:r>
      <w:r w:rsidR="006348D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sis</w:t>
      </w:r>
      <w:r w:rsidR="006348D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rmes shkres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nr. 8257 dat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25.7.2018 ka d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komentet si m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posht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</w:p>
    <w:p w:rsidR="000B008A" w:rsidRPr="00181833" w:rsidRDefault="000B008A" w:rsidP="006348D5">
      <w:pPr>
        <w:pStyle w:val="ListParagraph"/>
        <w:numPr>
          <w:ilvl w:val="0"/>
          <w:numId w:val="24"/>
        </w:num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Projektligji vler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sohet si i paqart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nga ana e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rmbajtjes.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relacion mungojn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informacionet e nevojshme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 vler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simin e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rmbajtjes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:rsidR="000B008A" w:rsidRPr="00181833" w:rsidRDefault="000B008A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Projektligji 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hartuar bazuar n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rregulloret e BE-s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dhe relacioni 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plot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suar me sqarimet p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rkat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se p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çdo kre 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projekaktit.</w:t>
      </w:r>
    </w:p>
    <w:p w:rsidR="000B008A" w:rsidRPr="00181833" w:rsidRDefault="000B008A" w:rsidP="00181833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rmbajtja e projektligjit nuk 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sht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harmoni me rregulloret e BE-s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1305/2013 dhe 1303/2013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,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cilat nuk k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rkojn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nga shtetet an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tare q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regullojn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me ligj m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nyr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n e krijimit dhe funksionimit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partner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ve. K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rkohet vet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m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rzgjedhja e tyre dhe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rfshirja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projektep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cil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t nuk do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k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6E149C" w:rsidRPr="00181833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rkohet financim nga Fondi ESI</w:t>
      </w:r>
      <w:r w:rsidR="006E149C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:rsidR="00181833" w:rsidRPr="00181833" w:rsidRDefault="00181833" w:rsidP="001818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Legjislacioni evropian në lidhje me menaxhimin e fondeve strukturore, përfshirë atë për zhvillimin rural, ku parashikohet edhe mbështetja për GVV, nuk është subjekt transpozimi në legjislacionin vendas, por parimet dhe rregullat e parashikuara në të duhen zbatuar në mënyrë analoge dhe të përputhur në sistemin vendas të menaxhimit të fondeve të parashikuara për mbështetjen e GVV. Në këtë konteks, ky projektligj transpozon pjesën pëkatëse të </w:t>
      </w:r>
      <w:r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Regullores së BE 1305/2013 dhe Rregullores 1303/2013, si dhe parimet e këtyre Rregulloreve, e specifikuar edhe në 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>tabel</w:t>
      </w:r>
      <w:r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ën</w:t>
      </w:r>
      <w:r w:rsidRPr="00181833">
        <w:rPr>
          <w:rFonts w:ascii="Times New Roman" w:hAnsi="Times New Roman" w:cs="Times New Roman"/>
          <w:sz w:val="24"/>
          <w:szCs w:val="24"/>
          <w:lang w:val="sq-AL"/>
        </w:rPr>
        <w:t xml:space="preserve"> e përputhshmërisë, bashkëlidhur këtij relacioni. </w:t>
      </w:r>
    </w:p>
    <w:p w:rsidR="006348D5" w:rsidRDefault="006348D5" w:rsidP="001818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181833" w:rsidRPr="00181833" w:rsidRDefault="00181833" w:rsidP="0018183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e Financave dhe Ekonomis</w:t>
      </w:r>
      <w:r w:rsidR="006348D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rmes sistemit ka d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komentet e m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poshtme:</w:t>
      </w:r>
    </w:p>
    <w:p w:rsidR="00181833" w:rsidRPr="00181833" w:rsidRDefault="00181833" w:rsidP="00181833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K</w:t>
      </w:r>
      <w:r w:rsidR="006348D5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rkohet paraqitja n</w:t>
      </w:r>
      <w:r w:rsidR="006348D5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relacion nj</w:t>
      </w:r>
      <w:r w:rsidR="006348D5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analiz</w:t>
      </w:r>
      <w:r w:rsidR="006348D5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e detajuar e kostove t</w:t>
      </w:r>
      <w:r w:rsidR="006348D5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mundshme dhe burimeve financiare t</w:t>
      </w:r>
      <w:r w:rsidR="006348D5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mbulimit t</w:t>
      </w:r>
      <w:r w:rsidR="006348D5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tyre</w:t>
      </w:r>
      <w:r w:rsidRPr="0018183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6E149C" w:rsidRDefault="000F15E8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Pas pranimit dhe reflektimit t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komenteve t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Ministris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Brendshme, nuk parashikohen kosto t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mundshme n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projektligj. Kostot do t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rcaktohen nga vet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nj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sit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vetqeverisjes vendore.</w:t>
      </w:r>
    </w:p>
    <w:p w:rsidR="002752BD" w:rsidRPr="002752BD" w:rsidRDefault="002752BD" w:rsidP="002752BD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2752BD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Si do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paraqitet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buxhet efektet financiare shtes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q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rrjedhin nga zbatimi i k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tij projektligji.</w:t>
      </w:r>
    </w:p>
    <w:p w:rsidR="002752BD" w:rsidRDefault="002752BD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lastRenderedPageBreak/>
        <w:t>Efektet financiare</w:t>
      </w:r>
      <w:r w:rsidR="000F15E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n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F15E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se do t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F15E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pranohen nga nj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F15E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sit</w:t>
      </w:r>
      <w:r w:rsidR="00E040F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F15E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vetqeverisjes vendore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do 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mbulohen m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fondet e alokuara n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buxhetet p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rkat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se. Efekti n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nj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vetqeverisjes vendore do 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jet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shum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i ul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 pasi nj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GVV ka shtrirje 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gjer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dhe mund 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rfshij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disa nj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 vendore.</w:t>
      </w:r>
    </w:p>
    <w:p w:rsidR="006348D5" w:rsidRDefault="006348D5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2752BD" w:rsidRDefault="002752BD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p</w:t>
      </w:r>
      <w:r w:rsidR="006348D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 Evrop</w:t>
      </w:r>
      <w:r w:rsidR="006348D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 dhe Pun</w:t>
      </w:r>
      <w:r w:rsidR="006348D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 e Jashtme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p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rmes sistemit ka d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komentet e m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posht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me:</w:t>
      </w:r>
    </w:p>
    <w:p w:rsidR="00DD189E" w:rsidRPr="00DD189E" w:rsidRDefault="00DD189E" w:rsidP="00E24341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DD1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Tabelat e P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DD1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rputhshm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DD1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ris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DD1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sipas modelit 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DD1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pik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DD1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4, 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DD1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shtojc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DD1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s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DD1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VKM nr. 233 dat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DD1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18.3.2015</w:t>
      </w:r>
    </w:p>
    <w:p w:rsidR="00DD189E" w:rsidRDefault="00DD189E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Pranuar, hartuar tabelat e p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rputhsh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mris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sipas modelit, bashk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lidhur k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tij projketligji.</w:t>
      </w:r>
    </w:p>
    <w:p w:rsidR="00DD189E" w:rsidRPr="00184750" w:rsidRDefault="00DD189E" w:rsidP="00184750">
      <w:pPr>
        <w:pStyle w:val="ListParagraph"/>
        <w:numPr>
          <w:ilvl w:val="0"/>
          <w:numId w:val="31"/>
        </w:num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184750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4750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pik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84750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n </w:t>
      </w:r>
      <w:r w:rsidR="00184750" w:rsidRPr="00184750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V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184750" w:rsidRPr="00184750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relacionit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184750" w:rsidRPr="00184750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b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184750" w:rsidRPr="00184750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het z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184750" w:rsidRPr="00184750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vend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184750" w:rsidRPr="00184750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simi i termit “acquis communautaire” me </w:t>
      </w:r>
      <w:r w:rsidR="00184750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“</w:t>
      </w:r>
      <w:r w:rsidR="00184750" w:rsidRPr="00184750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acquis e Be”</w:t>
      </w:r>
    </w:p>
    <w:p w:rsidR="00184750" w:rsidRDefault="00184750" w:rsidP="00DC41B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Pranuar dhe reflektuar n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relacion.</w:t>
      </w:r>
    </w:p>
    <w:p w:rsidR="006348D5" w:rsidRDefault="006348D5" w:rsidP="00DC41B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184750" w:rsidRDefault="00184750" w:rsidP="00DC41B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6348D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e Brendshme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p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rmes sistemit ka d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komentet e m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posht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me:</w:t>
      </w:r>
    </w:p>
    <w:p w:rsidR="00DC41BD" w:rsidRDefault="00DC41BD" w:rsidP="00983300">
      <w:pPr>
        <w:pStyle w:val="CommentTex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T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rshtatet terminologjia e p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rdorur n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projektligj me ndarjen administrativo-territoriale, t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miratuar me ligjin nr.115/2014 “P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 ndarjen administrativo-territoriale t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nj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sive t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qeverisjes vendore”, n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veçanti p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 termin “zon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rurale n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nrajonale”, t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rdorur n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rkufizimin n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projektligj, t</w:t>
      </w:r>
      <w:r w:rsidR="006348D5"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1A34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termit “Zona LEADER</w:t>
      </w:r>
      <w:r w:rsidRPr="00DC41BD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”.</w:t>
      </w:r>
    </w:p>
    <w:p w:rsidR="00DC41BD" w:rsidRPr="00DC41BD" w:rsidRDefault="00DC41BD" w:rsidP="001A3466">
      <w:pPr>
        <w:pStyle w:val="CommentText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Pranuar dhe reflektuar.</w:t>
      </w:r>
    </w:p>
    <w:p w:rsidR="00EF445E" w:rsidRDefault="00EF445E" w:rsidP="00983300">
      <w:pPr>
        <w:pStyle w:val="CommentTex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nenin 6,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ligjit nr.8788, dat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7.5.2001 “P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 organizatat jofitimprur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se”,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ndryshuar, 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sht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parashikuar si parim i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rgjithsh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m, ai i pavar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sis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s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organizatave jofitimprur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se nga shtetit dhe nenin 7,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tij, jan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parashikuar marr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dh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niet e OJF me organet shtet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rore,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baz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s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cilit, organet shtet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rore mb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shtesin dhe nxisin veprimtarin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e OJF-ve, pa nd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rhyr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veprimtarin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e tyre.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k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kontekst, do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sugjeronim rishikimin e m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nyr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 s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organizimit dhe funksionimit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GVV, me q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llim harmonizimin e k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tij projektligji me kuadrin ligjor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rkat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EF445E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s.</w:t>
      </w:r>
    </w:p>
    <w:p w:rsidR="003071C4" w:rsidRDefault="00EF445E" w:rsidP="003071C4">
      <w:pPr>
        <w:pStyle w:val="Kzepesrcs12jellszn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Ky draftligj p</w:t>
      </w:r>
      <w:r w:rsidR="006348D5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 xml:space="preserve">rcakton </w:t>
      </w:r>
      <w:r w:rsidR="003071C4" w:rsidRPr="00181833">
        <w:rPr>
          <w:rFonts w:ascii="Times New Roman" w:hAnsi="Times New Roman"/>
          <w:sz w:val="24"/>
          <w:szCs w:val="24"/>
        </w:rPr>
        <w:t>përfshirjen e komuniteteve lokale në identifikimin dhe zbatimin e strategjive të zhvillimit të udhëhequra nga komuniteti në varësi të nevojave të tyre, marrjen e vendimeve për alokimin e burimeve të tyre financiare, dhe menaxhimin e tyre bazuar në zhvillimin e qëndrueshëm, sigurimin e një mjedisi për investimet në zonat rurale nga vetë komuniteti, ngritjen e kapaciteteve vendore, si dhe zbatimin e strategjive lokale t</w:t>
      </w:r>
      <w:r w:rsidR="006348D5">
        <w:rPr>
          <w:rFonts w:ascii="Times New Roman" w:hAnsi="Times New Roman"/>
          <w:sz w:val="24"/>
          <w:szCs w:val="24"/>
        </w:rPr>
        <w:t>ë</w:t>
      </w:r>
      <w:r w:rsidR="003071C4" w:rsidRPr="00181833">
        <w:rPr>
          <w:rFonts w:ascii="Times New Roman" w:hAnsi="Times New Roman"/>
          <w:sz w:val="24"/>
          <w:szCs w:val="24"/>
        </w:rPr>
        <w:t xml:space="preserve"> zhvillimit p</w:t>
      </w:r>
      <w:r w:rsidR="006348D5">
        <w:rPr>
          <w:rFonts w:ascii="Times New Roman" w:hAnsi="Times New Roman"/>
          <w:sz w:val="24"/>
          <w:szCs w:val="24"/>
        </w:rPr>
        <w:t>ë</w:t>
      </w:r>
      <w:r w:rsidR="003071C4" w:rsidRPr="00181833">
        <w:rPr>
          <w:rFonts w:ascii="Times New Roman" w:hAnsi="Times New Roman"/>
          <w:sz w:val="24"/>
          <w:szCs w:val="24"/>
        </w:rPr>
        <w:t>rmes projekteve lokale.</w:t>
      </w:r>
      <w:r w:rsidR="003071C4">
        <w:rPr>
          <w:rFonts w:ascii="Times New Roman" w:hAnsi="Times New Roman"/>
          <w:sz w:val="24"/>
          <w:szCs w:val="24"/>
        </w:rPr>
        <w:t xml:space="preserve"> Si t</w:t>
      </w:r>
      <w:r w:rsidR="006348D5">
        <w:rPr>
          <w:rFonts w:ascii="Times New Roman" w:hAnsi="Times New Roman"/>
          <w:sz w:val="24"/>
          <w:szCs w:val="24"/>
        </w:rPr>
        <w:t>ë</w:t>
      </w:r>
      <w:r w:rsidR="003071C4">
        <w:rPr>
          <w:rFonts w:ascii="Times New Roman" w:hAnsi="Times New Roman"/>
          <w:sz w:val="24"/>
          <w:szCs w:val="24"/>
        </w:rPr>
        <w:t xml:space="preserve"> tilla nj</w:t>
      </w:r>
      <w:r w:rsidR="006348D5">
        <w:rPr>
          <w:rFonts w:ascii="Times New Roman" w:hAnsi="Times New Roman"/>
          <w:sz w:val="24"/>
          <w:szCs w:val="24"/>
        </w:rPr>
        <w:t>ë</w:t>
      </w:r>
      <w:r w:rsidR="003071C4">
        <w:rPr>
          <w:rFonts w:ascii="Times New Roman" w:hAnsi="Times New Roman"/>
          <w:sz w:val="24"/>
          <w:szCs w:val="24"/>
        </w:rPr>
        <w:t>st</w:t>
      </w:r>
      <w:r w:rsidR="006348D5">
        <w:rPr>
          <w:rFonts w:ascii="Times New Roman" w:hAnsi="Times New Roman"/>
          <w:sz w:val="24"/>
          <w:szCs w:val="24"/>
        </w:rPr>
        <w:t>ë</w:t>
      </w:r>
      <w:r w:rsidR="003071C4">
        <w:rPr>
          <w:rFonts w:ascii="Times New Roman" w:hAnsi="Times New Roman"/>
          <w:sz w:val="24"/>
          <w:szCs w:val="24"/>
        </w:rPr>
        <w:t xml:space="preserve"> vendore do t</w:t>
      </w:r>
      <w:r w:rsidR="006348D5">
        <w:rPr>
          <w:rFonts w:ascii="Times New Roman" w:hAnsi="Times New Roman"/>
          <w:sz w:val="24"/>
          <w:szCs w:val="24"/>
        </w:rPr>
        <w:t>ë</w:t>
      </w:r>
      <w:r w:rsidR="003071C4">
        <w:rPr>
          <w:rFonts w:ascii="Times New Roman" w:hAnsi="Times New Roman"/>
          <w:sz w:val="24"/>
          <w:szCs w:val="24"/>
        </w:rPr>
        <w:t xml:space="preserve"> jen</w:t>
      </w:r>
      <w:r w:rsidR="006348D5">
        <w:rPr>
          <w:rFonts w:ascii="Times New Roman" w:hAnsi="Times New Roman"/>
          <w:sz w:val="24"/>
          <w:szCs w:val="24"/>
        </w:rPr>
        <w:t>ë</w:t>
      </w:r>
      <w:r w:rsidR="003071C4">
        <w:rPr>
          <w:rFonts w:ascii="Times New Roman" w:hAnsi="Times New Roman"/>
          <w:sz w:val="24"/>
          <w:szCs w:val="24"/>
        </w:rPr>
        <w:t xml:space="preserve"> pjes</w:t>
      </w:r>
      <w:r w:rsidR="006348D5">
        <w:rPr>
          <w:rFonts w:ascii="Times New Roman" w:hAnsi="Times New Roman"/>
          <w:sz w:val="24"/>
          <w:szCs w:val="24"/>
        </w:rPr>
        <w:t>ë</w:t>
      </w:r>
      <w:r w:rsidR="003071C4">
        <w:rPr>
          <w:rFonts w:ascii="Times New Roman" w:hAnsi="Times New Roman"/>
          <w:sz w:val="24"/>
          <w:szCs w:val="24"/>
        </w:rPr>
        <w:t xml:space="preserve"> e k</w:t>
      </w:r>
      <w:r w:rsidR="006348D5">
        <w:rPr>
          <w:rFonts w:ascii="Times New Roman" w:hAnsi="Times New Roman"/>
          <w:sz w:val="24"/>
          <w:szCs w:val="24"/>
        </w:rPr>
        <w:t>ë</w:t>
      </w:r>
      <w:r w:rsidR="003071C4">
        <w:rPr>
          <w:rFonts w:ascii="Times New Roman" w:hAnsi="Times New Roman"/>
          <w:sz w:val="24"/>
          <w:szCs w:val="24"/>
        </w:rPr>
        <w:t>tyre veprimtarive.</w:t>
      </w:r>
    </w:p>
    <w:p w:rsidR="00B32366" w:rsidRDefault="00B32366" w:rsidP="00983300">
      <w:pPr>
        <w:pStyle w:val="CommentTex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k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to kushte theksojm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se 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sht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kopetenc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e K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shillit bashkiak dhe k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shillit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qarkut, si organe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rfaq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suese,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vendosin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 mas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n e financimit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bashkis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dhe qarkut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B3236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GVV.</w:t>
      </w:r>
    </w:p>
    <w:p w:rsidR="00B32366" w:rsidRDefault="00D84D21" w:rsidP="00B32366">
      <w:pPr>
        <w:pStyle w:val="CommentText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Pranuar dhe reflektuar</w:t>
      </w:r>
      <w:r w:rsidR="00B3236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. </w:t>
      </w:r>
    </w:p>
    <w:p w:rsidR="007E1818" w:rsidRDefault="007E1818" w:rsidP="00983300">
      <w:pPr>
        <w:pStyle w:val="CommentText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shpjegohet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relacion dhe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parashikohet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projektligj, çfar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ndodh me nj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GVV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krijuar sipas ligjit nr.8788/2011, kur ajo çregjistrohet nga struktura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rgjegj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se, e caktuar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r akreditimin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dhe regjistrimin e GVV, sipas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rcaktimit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b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pik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n 4,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neni 15,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7E181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projektligjit.</w:t>
      </w:r>
    </w:p>
    <w:p w:rsidR="007E1818" w:rsidRDefault="000F15E8" w:rsidP="007E1818">
      <w:pPr>
        <w:pStyle w:val="CommentText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Zbatohet kodi i procedurave administrative</w:t>
      </w:r>
      <w:r w:rsidR="007E181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:rsidR="00415971" w:rsidRPr="00415971" w:rsidRDefault="00415971" w:rsidP="00983300">
      <w:pPr>
        <w:pStyle w:val="CommentText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rcaktohet shprehimisht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projektligj autoritet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in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q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mbikqyr, kontrollon apo auditon 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rdorimin e fondeve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GVV,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propozuara q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organizohen dhe 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lastRenderedPageBreak/>
        <w:t>funksionojn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si organizata jofitimprur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se,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veçanti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lidhje me financimet e b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ra nga bashkit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dhe qarqet, n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harmoni me parashikimet e ligjin nr.139/2015 “P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 vet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qeverisje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vendore” dhe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ligjit nr.8788, dat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7.5.2001 “P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 organizatat jofitimprur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se”, t</w:t>
      </w:r>
      <w:r w:rsidR="006348D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41597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ndryshuar</w:t>
      </w:r>
      <w:r w:rsidRPr="00415971">
        <w:rPr>
          <w:rFonts w:ascii="Times New Roman" w:hAnsi="Times New Roman" w:cs="Times New Roman"/>
          <w:i/>
          <w:sz w:val="24"/>
          <w:szCs w:val="24"/>
        </w:rPr>
        <w:t>.</w:t>
      </w:r>
    </w:p>
    <w:p w:rsidR="003E5F4D" w:rsidRPr="007E1818" w:rsidRDefault="00E355FE" w:rsidP="00983300">
      <w:pPr>
        <w:pStyle w:val="CommentText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Raportimi dhe vler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simi i GVV, kryhet referuar nenit 16 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projektligjit. Auditimi i fondeve do 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kryhet sipas burimit t</w:t>
      </w:r>
      <w:r w:rsidR="006348D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financimit. </w:t>
      </w:r>
      <w:r w:rsidR="00D729A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</w:p>
    <w:p w:rsidR="002752BD" w:rsidRDefault="002752BD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B802EC" w:rsidRPr="00B802EC" w:rsidRDefault="00B802EC" w:rsidP="00B802EC">
      <w:pPr>
        <w:pStyle w:val="ListParagraph"/>
        <w:numPr>
          <w:ilvl w:val="0"/>
          <w:numId w:val="37"/>
        </w:num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Rid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p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r mendim: </w:t>
      </w:r>
    </w:p>
    <w:p w:rsidR="009713CD" w:rsidRPr="008254CC" w:rsidRDefault="009713CD" w:rsidP="00B802EC">
      <w:pPr>
        <w:pStyle w:val="ListParagraph"/>
        <w:tabs>
          <w:tab w:val="left" w:pos="1080"/>
          <w:tab w:val="left" w:pos="1440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Projektligji </w:t>
      </w:r>
      <w:r w:rsidR="00920646"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920646"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rid</w:t>
      </w:r>
      <w:r w:rsidR="00920646"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p</w:t>
      </w:r>
      <w:r w:rsidR="00920646"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mendim tek ministrit</w:t>
      </w:r>
      <w:r w:rsidR="00920646"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dhe pas shyrtimit komentet e marra janë konsideruar dhe reflektuar pjesërisht, si më poshtë:</w:t>
      </w:r>
    </w:p>
    <w:p w:rsidR="009713CD" w:rsidRDefault="009713CD" w:rsidP="009713C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9713CD" w:rsidRDefault="009713CD" w:rsidP="009713C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e Drejt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rmes shkres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 nr.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112/1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dat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21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ka d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komentet si m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posht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</w:p>
    <w:p w:rsidR="00DE2577" w:rsidRPr="00DE2577" w:rsidRDefault="009713CD" w:rsidP="009713C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Mbi ligjshm</w:t>
      </w:r>
      <w:r w:rsidR="0092064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rin</w:t>
      </w:r>
      <w:r w:rsidR="0092064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e form</w:t>
      </w:r>
      <w:r w:rsidR="0092064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 dhe p</w:t>
      </w:r>
      <w:r w:rsidR="0092064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rmbjatjes</w:t>
      </w:r>
    </w:p>
    <w:p w:rsidR="00DE2577" w:rsidRDefault="00DE2577" w:rsidP="009713C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Shprehet dakort, duke sygjeruar ç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shtje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zbatimit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unifikuar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teknik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legjislative dhe terminologjis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juridike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aktit si m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posht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</w:p>
    <w:p w:rsidR="00636DB9" w:rsidRPr="00636DB9" w:rsidRDefault="00636DB9" w:rsidP="009713C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Mbi ç</w:t>
      </w:r>
      <w:r w:rsidR="0092064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shtjet e zbatimit t</w:t>
      </w:r>
      <w:r w:rsidR="0092064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unifikuar t</w:t>
      </w:r>
      <w:r w:rsidR="0092064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teknik</w:t>
      </w:r>
      <w:r w:rsidR="00920646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 legjislative:</w:t>
      </w:r>
    </w:p>
    <w:p w:rsidR="009713CD" w:rsidRDefault="00383242" w:rsidP="009713C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Pikat: 2.2.1; 2.2.2; 2.2.5; </w:t>
      </w:r>
      <w:r w:rsidR="00DD2D1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2.3;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2.4; 2.5; 2.6 pjesa e par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; 2.8; 2.9; 2.10.1; 2.10.2; 2.11; 2.12; 2.13, </w:t>
      </w:r>
      <w:r w:rsidR="00113AA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si dhe 2.14,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jan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konsideruar dhe reflektuar n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projektakt.</w:t>
      </w:r>
    </w:p>
    <w:p w:rsidR="00383242" w:rsidRPr="00181833" w:rsidRDefault="00383242" w:rsidP="009713C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Pika 2.1: Pas shqyrtimit nuk 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konsideruar </w:t>
      </w:r>
      <w:r w:rsidR="00B064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pasi ky akt nuk mendojm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064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se bie ndesh me ligjin nr. 8788/2012 “P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064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organizatat jofitimprur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064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se”, pasi GVV duhet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064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regjistrohen sipas nj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064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forme juridike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064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064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rcaktuar. </w:t>
      </w:r>
    </w:p>
    <w:p w:rsidR="00DD2D18" w:rsidRDefault="00B8606C" w:rsidP="009713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B8606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Pika 2.2.3</w:t>
      </w:r>
      <w:r w:rsidR="00DD2D1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: Pas shqyrtimit nuk 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D2D1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D2D1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konsideruar pasi reflektohet n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D2D1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nenin 4,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D2D1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projektaktit.</w:t>
      </w:r>
    </w:p>
    <w:p w:rsidR="00DD2D18" w:rsidRDefault="00DD2D18" w:rsidP="009713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Pika 2.2.4: pas shqyrtimit nuk 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konsideruar pasi p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rcaktimi sipas ligjit nr. 9817 dat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22.10.2007 “P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bujq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sin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dhe zhvillimin rural”.</w:t>
      </w:r>
    </w:p>
    <w:p w:rsidR="005B03AF" w:rsidRDefault="005B03AF" w:rsidP="009713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Pika 2.2.5: Pranuar pjes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risht. Lidhur me togfjal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shin “..nj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grup i ngjash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 me GVV...”, sqarojm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se grupe mund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jen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organizime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ndryshme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partneritetit.</w:t>
      </w:r>
    </w:p>
    <w:p w:rsidR="00DD2D18" w:rsidRDefault="00DD2D18" w:rsidP="009713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Pika 2.2.6: Hequr fjala “n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n-r</w:t>
      </w:r>
      <w:r w:rsidR="00233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aj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onale” pasi nuk gjen kuptim n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akt.</w:t>
      </w:r>
    </w:p>
    <w:p w:rsidR="009713CD" w:rsidRDefault="00DD2D18" w:rsidP="009713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Pika 2.7: </w:t>
      </w:r>
      <w:r w:rsidR="00233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Nuk 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33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33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pranuar pasi shpreh nj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33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rin nga parimet ku duhet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33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mb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33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shteten GVV-t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33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p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3389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funksionimin e tyre.</w:t>
      </w:r>
    </w:p>
    <w:p w:rsidR="0023389E" w:rsidRDefault="005B03AF" w:rsidP="009713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Pika 2.10.3: Nuk konsiderohet pasi sqarojm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se buxheti i nj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sive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vetqeverisjes vendore miratohet nga K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shilli Bashkiak.</w:t>
      </w:r>
    </w:p>
    <w:p w:rsidR="005B03AF" w:rsidRPr="00B8606C" w:rsidRDefault="005B03AF" w:rsidP="009713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9713CD" w:rsidRPr="00181833" w:rsidRDefault="009713CD" w:rsidP="009713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e Financave dhe Ekonomis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përmes </w:t>
      </w:r>
      <w:r w:rsidR="00CE5F7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shkres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CE5F7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nr. 261/1 dat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CE5F7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25.1.2021,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ka dërguar komentet e mëposhtme:</w:t>
      </w:r>
    </w:p>
    <w:p w:rsidR="00330E40" w:rsidRDefault="00CE5F71" w:rsidP="00330E40">
      <w:pPr>
        <w:tabs>
          <w:tab w:val="left" w:pos="2745"/>
        </w:tabs>
        <w:jc w:val="both"/>
        <w:rPr>
          <w:rStyle w:val="CommentReference"/>
        </w:rPr>
      </w:pPr>
      <w:r w:rsidRPr="00330E40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330E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pik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330E40">
        <w:rPr>
          <w:rFonts w:ascii="Times New Roman" w:eastAsia="Times New Roman" w:hAnsi="Times New Roman" w:cs="Times New Roman"/>
          <w:sz w:val="24"/>
          <w:szCs w:val="24"/>
          <w:lang w:val="sq-AL"/>
        </w:rPr>
        <w:t>n 1, k</w:t>
      </w:r>
      <w:r w:rsidR="009713CD" w:rsidRPr="00330E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ërkohet </w:t>
      </w:r>
      <w:r w:rsidRPr="00330E40">
        <w:rPr>
          <w:rFonts w:ascii="Times New Roman" w:eastAsia="Times New Roman" w:hAnsi="Times New Roman" w:cs="Times New Roman"/>
          <w:sz w:val="24"/>
          <w:szCs w:val="24"/>
          <w:lang w:val="sq-AL"/>
        </w:rPr>
        <w:t>llogaritja e fatur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330E40">
        <w:rPr>
          <w:rFonts w:ascii="Times New Roman" w:eastAsia="Times New Roman" w:hAnsi="Times New Roman" w:cs="Times New Roman"/>
          <w:sz w:val="24"/>
          <w:szCs w:val="24"/>
          <w:lang w:val="sq-AL"/>
        </w:rPr>
        <w:t>s financiare p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330E40">
        <w:rPr>
          <w:rFonts w:ascii="Times New Roman" w:eastAsia="Times New Roman" w:hAnsi="Times New Roman" w:cs="Times New Roman"/>
          <w:sz w:val="24"/>
          <w:szCs w:val="24"/>
          <w:lang w:val="sq-AL"/>
        </w:rPr>
        <w:t>r pushtetin vendor</w:t>
      </w: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.</w:t>
      </w:r>
      <w:r w:rsidR="00330E40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</w:t>
      </w:r>
      <w:r w:rsidR="00330E40">
        <w:rPr>
          <w:rFonts w:ascii="Times New Roman" w:eastAsia="Times New Roman" w:hAnsi="Times New Roman" w:cs="Times New Roman"/>
          <w:sz w:val="24"/>
          <w:szCs w:val="24"/>
          <w:lang w:val="sq-AL"/>
        </w:rPr>
        <w:t>Theksojm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30E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30E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ky  p</w:t>
      </w:r>
      <w:r w:rsidR="00330E40" w:rsidRPr="00330E40">
        <w:rPr>
          <w:rFonts w:ascii="Times New Roman" w:eastAsia="Times New Roman" w:hAnsi="Times New Roman" w:cs="Times New Roman"/>
          <w:sz w:val="24"/>
          <w:szCs w:val="24"/>
          <w:lang w:val="sq-AL"/>
        </w:rPr>
        <w:t>rojektligji i propozuar nuk mbart efekte financiare për buxhetin e shtetit. Janë njësitë e vetqeverisjes vendore, që do të përcaktojnë mbështetjen brenda buxhetit të tyre, sipas vendimeve të Këshillave Bashkiakë.</w:t>
      </w:r>
      <w:r w:rsidR="00330E40">
        <w:rPr>
          <w:rStyle w:val="CommentReference"/>
        </w:rPr>
        <w:t xml:space="preserve"> </w:t>
      </w:r>
    </w:p>
    <w:p w:rsidR="00F50523" w:rsidRDefault="00330E40" w:rsidP="00CE5F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30E40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330E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pik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330E40">
        <w:rPr>
          <w:rFonts w:ascii="Times New Roman" w:eastAsia="Times New Roman" w:hAnsi="Times New Roman" w:cs="Times New Roman"/>
          <w:sz w:val="24"/>
          <w:szCs w:val="24"/>
          <w:lang w:val="sq-AL"/>
        </w:rPr>
        <w:t>n e dyt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sqarojm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 proj</w:t>
      </w:r>
      <w:r w:rsidR="00983300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ktakti 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konsultuar me K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shillin Konsultativ t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Qeverisjes Qendrore me Vetqeverisjen Vendore. Gjithashtu pjes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hartimit t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projektaktit ka qen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shoqata e Bashkive t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Shqip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ris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 si dhe shoqata p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Autonomin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Vendore.</w:t>
      </w:r>
    </w:p>
    <w:p w:rsidR="009713CD" w:rsidRPr="00CE5F71" w:rsidRDefault="00330E40" w:rsidP="00CE5F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lastRenderedPageBreak/>
        <w:t xml:space="preserve"> </w:t>
      </w:r>
    </w:p>
    <w:p w:rsidR="009713CD" w:rsidRDefault="009713CD" w:rsidP="009713C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 Evrop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 dhe Pun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 e Jashtme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përmes </w:t>
      </w:r>
      <w:r w:rsidR="00F5052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shkres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F5052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nr. 2056 dat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F5052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16.2.2021,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ka dërguar komentet</w:t>
      </w:r>
      <w:r w:rsidR="00FF3F6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FF3F6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cilat jan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FF3F6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pranuar dhe reflektuar.</w:t>
      </w:r>
    </w:p>
    <w:p w:rsidR="009713CD" w:rsidRDefault="009713CD" w:rsidP="009713C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6348D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e Brendshme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përmes </w:t>
      </w:r>
      <w:r w:rsidR="006E2F4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shkres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6E2F4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nr. 84/2 dat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6E2F4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17.2.2021,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ka dërguar komentet e mëposhtë</w:t>
      </w:r>
      <w:r w:rsidR="00BB688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me, 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B688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cilat jan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B688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pranuar dhe reflektuar pothuasje plot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B688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sisht si m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B688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posht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B688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</w:p>
    <w:p w:rsidR="00BB688A" w:rsidRDefault="00BB688A" w:rsidP="009713C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Jan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pranuar dhe reflektuar pikat: 1, 3, 4 dhe 5.</w:t>
      </w:r>
    </w:p>
    <w:p w:rsidR="009713CD" w:rsidRDefault="00BB688A" w:rsidP="00BB688A">
      <w:pPr>
        <w:tabs>
          <w:tab w:val="left" w:pos="1080"/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Pika 2, nuk 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pranuar pasi k</w:t>
      </w:r>
      <w:r w:rsidR="009713CD">
        <w:rPr>
          <w:rFonts w:ascii="Times New Roman" w:hAnsi="Times New Roman"/>
          <w:bCs/>
          <w:sz w:val="24"/>
          <w:szCs w:val="24"/>
        </w:rPr>
        <w:t xml:space="preserve">y draftligj përcakton </w:t>
      </w:r>
      <w:r w:rsidR="009713CD" w:rsidRPr="00181833">
        <w:rPr>
          <w:rFonts w:ascii="Times New Roman" w:hAnsi="Times New Roman"/>
          <w:sz w:val="24"/>
          <w:szCs w:val="24"/>
        </w:rPr>
        <w:t>përfshirjen e komuniteteve lokale në identifikimin dhe zbatimin e strategjive të zhvillimit të udhëhequra nga komuniteti në varësi të nevojave të tyre, marrjen e vendimeve për alokimin e burimeve të tyre financiare, dhe menaxhimin e tyre bazuar në zhvillimin e qëndrueshëm, sigurimin e një mjedisi për investimet në zonat rurale nga vetë komuniteti, ngritjen e kapaciteteve vendore, si dhe zbatimin e strategjive lokale t</w:t>
      </w:r>
      <w:r w:rsidR="009713CD">
        <w:rPr>
          <w:rFonts w:ascii="Times New Roman" w:hAnsi="Times New Roman"/>
          <w:sz w:val="24"/>
          <w:szCs w:val="24"/>
        </w:rPr>
        <w:t>ë</w:t>
      </w:r>
      <w:r w:rsidR="009713CD" w:rsidRPr="00181833">
        <w:rPr>
          <w:rFonts w:ascii="Times New Roman" w:hAnsi="Times New Roman"/>
          <w:sz w:val="24"/>
          <w:szCs w:val="24"/>
        </w:rPr>
        <w:t xml:space="preserve"> zhvillimit p</w:t>
      </w:r>
      <w:r w:rsidR="009713CD">
        <w:rPr>
          <w:rFonts w:ascii="Times New Roman" w:hAnsi="Times New Roman"/>
          <w:sz w:val="24"/>
          <w:szCs w:val="24"/>
        </w:rPr>
        <w:t>ë</w:t>
      </w:r>
      <w:r w:rsidR="009713CD" w:rsidRPr="00181833">
        <w:rPr>
          <w:rFonts w:ascii="Times New Roman" w:hAnsi="Times New Roman"/>
          <w:sz w:val="24"/>
          <w:szCs w:val="24"/>
        </w:rPr>
        <w:t>rmes projekteve lokale.</w:t>
      </w:r>
      <w:r w:rsidR="009713CD">
        <w:rPr>
          <w:rFonts w:ascii="Times New Roman" w:hAnsi="Times New Roman"/>
          <w:sz w:val="24"/>
          <w:szCs w:val="24"/>
        </w:rPr>
        <w:t xml:space="preserve"> Si të tilla njëstë vendore do të jenë pjesë e këtyre veprimtarive.</w:t>
      </w:r>
    </w:p>
    <w:p w:rsidR="00BB688A" w:rsidRDefault="00BB688A" w:rsidP="00BB68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Lidhur me pik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 6, sqarojm</w:t>
      </w:r>
      <w:r w:rsid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se projektakti 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konsultuar me K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shillin Konsultativ t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Qeverisjes Qendrore me Vetqeverisjen Vendore. Gjithashtu pjes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hartimit t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projektaktit ka qen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shoqata e Bashkive t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Shqip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ris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 si dhe shoqata p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Autonomin</w:t>
      </w:r>
      <w:r w:rsidR="009206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Vendore.</w:t>
      </w:r>
    </w:p>
    <w:p w:rsidR="006348D5" w:rsidRDefault="006348D5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B802EC" w:rsidRPr="00B802EC" w:rsidRDefault="00B802EC" w:rsidP="00B802EC">
      <w:pPr>
        <w:pStyle w:val="ListParagraph"/>
        <w:numPr>
          <w:ilvl w:val="0"/>
          <w:numId w:val="37"/>
        </w:num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Rid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p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mendim</w:t>
      </w:r>
    </w:p>
    <w:p w:rsidR="00624A9D" w:rsidRDefault="00624A9D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92064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Projektligji është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ridërguar për mendim tek ministritë dhe pas shyrtimit komentet e marra j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an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konsideruar dhe reflektuar pjes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risht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si më poshtë:</w:t>
      </w:r>
    </w:p>
    <w:p w:rsidR="00624A9D" w:rsidRDefault="00624A9D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624A9D" w:rsidRDefault="00624A9D" w:rsidP="00624A9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e Drejt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rmes shkres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 nr.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112/1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dat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21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ka d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komentet si m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posht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</w:p>
    <w:p w:rsidR="00624A9D" w:rsidRPr="00DE2577" w:rsidRDefault="00624A9D" w:rsidP="00624A9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Mbi ligjshm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rin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e form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 dhe p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rmbjatjes</w:t>
      </w:r>
    </w:p>
    <w:p w:rsidR="00624A9D" w:rsidRDefault="00624A9D" w:rsidP="00624A9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Shprehet dakort, duke s</w:t>
      </w:r>
      <w:r w:rsidR="00D222A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gjeruar çështje të zbatimit të unifikuar të teknikës legjislative dhe terminologjisë juridike të aktit si mëposhtë:</w:t>
      </w:r>
    </w:p>
    <w:p w:rsidR="00624A9D" w:rsidRPr="00636DB9" w:rsidRDefault="00624A9D" w:rsidP="00624A9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Mbi ç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shtjet e zbatimit 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unifikuar 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teknik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 legjislative:</w:t>
      </w:r>
    </w:p>
    <w:p w:rsidR="00A75C46" w:rsidRDefault="00A75C46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Pikat: 2.1; 2.2; 2.4; 2.5;</w:t>
      </w:r>
      <w:r w:rsidR="008C073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2.8; </w:t>
      </w:r>
      <w:r w:rsidR="0085466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2.10</w:t>
      </w:r>
      <w:r w:rsidR="0085466C" w:rsidRPr="0085466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85466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janë konsideruar dhe reflektuar në projektakt.</w:t>
      </w:r>
    </w:p>
    <w:p w:rsidR="00624A9D" w:rsidRDefault="0085466C" w:rsidP="00922E4A">
      <w:pPr>
        <w:pStyle w:val="CommentText"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Pika 2.3  </w:t>
      </w:r>
      <w:r w:rsidR="00E66C8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pranuar pjes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6C8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risht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F2B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r </w:t>
      </w:r>
      <w:r w:rsidR="00E66C8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togfjal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6C8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shi</w:t>
      </w:r>
      <w:r w:rsidR="003F2B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="00E66C8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“form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6C8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3F2B1C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 qëndrueshme në terma gjeografikë, socialë dhe ekonomikë”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</w:t>
      </w:r>
      <w:r w:rsidR="003F2B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sqarojm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F2B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se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  <w:r w:rsidR="003F2B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E66C8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erritori i GVV-s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nj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territor i vog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l, homogjen dhe </w:t>
      </w:r>
      <w:r w:rsidR="003F2B1C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q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F2B1C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karakterizohet nga 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solidaritet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shoq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ror </w:t>
      </w:r>
      <w:r w:rsidR="003F2B1C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me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tradita</w:t>
      </w:r>
      <w:r w:rsidR="003F2B1C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te përbashkëta, identitet lokal, ndjenja e përkatësisë ose nevojat dhe prit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shm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përbashkëta, si zona e synuar për zbatimin e politikave. 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Pasja e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një zon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të tillë si referencë lehtëson njohjen e pikave të forta dhe të dobëta, kërcënimeve dhe mundësive, potencialit dhe identifikimin e pengesave kryesore për zhvillimin e qëndrueshëm. 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Nd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rsa p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togfjal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shin “b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urimet e mjaftueshme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”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i referohen burimeve minimale q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jan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nevojshme p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mb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shtetur strategjin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q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ajo 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zbatohet p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arritur objektivat.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pjes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620FFD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n e sugjerimit </w:t>
      </w:r>
      <w:r w:rsidR="008C0454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“Në pikën 4 parashikohet se kriteret e këtij neni “nuk kanë rol kufizues në përcaktimin e kufijve të zonës LEADER”. Në funksion të qartësisë dhe detyrimit që përmbajtja e projektaktit të jetë shteruese, e qartë dhe të mos lërë vend për interpretim, në përmbajtje të kësaj pike të identifikohen cilat janë rastet konkrete kur kriteret e nenit 6 nuk zbatohen”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: 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nuk merret n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konsiderat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dhe sqarojm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se n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rast nuk kan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rol kufizues kufijt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administrativ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nj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sive 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vet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-qeverisjes vendore. Pra p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krijimin e nj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GVV-je nuk ndiqen kufijt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admiminitrativ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nj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sive/bashkive q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marrin pjes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</w:t>
      </w:r>
      <w:r w:rsidR="00705E12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 w:rsidRP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:rsidR="00E64375" w:rsidRPr="00E64375" w:rsidRDefault="00620FFD" w:rsidP="00E64375">
      <w:pPr>
        <w:pStyle w:val="CommentTex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lastRenderedPageBreak/>
        <w:t>Pika 2.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: 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Pranuar pjes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risht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rsa i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rket num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rimit, pjesa tjetër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nuk është konsideruar pasi ky akt nuk mendojmë se bie ndesh me ligjin nr. 8788/2012 “Për organizatat jofitimprurëse”, pasi GVV duhet të regjistrohen sipas një forme juridike të përcaktuar. 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lidhje me komentin q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“</w:t>
      </w:r>
      <w:r w:rsidR="00E64375" w:rsidRP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Parimi i barazisë gjinore nuk përmendet në përmbajtje të këtij ligji, në pjesën e parimeve.” 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sqarojm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se </w:t>
      </w:r>
      <w:r w:rsidR="00E64375" w:rsidRP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parimet 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rcaktuara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nenin 4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projektligjit, jan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parimet 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mbi te cilat krijohet</w:t>
      </w:r>
      <w:r w:rsidR="00E64375" w:rsidRP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nj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GVV,</w:t>
      </w:r>
      <w:r w:rsidR="00E64375" w:rsidRP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nd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rsa gjat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krijimit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strukturave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GVV duhet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kihet parasysh parimi i barazis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gjinore</w:t>
      </w:r>
      <w:r w:rsidR="00E64375" w:rsidRPr="00E6437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:rsidR="00620FFD" w:rsidRDefault="00E64375" w:rsidP="00620FF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Pika 2.7: Pranuar pjes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risht</w:t>
      </w:r>
      <w:r w:rsidR="00EA3B1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3B1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rsa i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3B1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rket fjalis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3B1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3B1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par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3B1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3B1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sugjerimit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. </w:t>
      </w:r>
      <w:r w:rsidR="00EA3B1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3B1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lidhje me fjalin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3B1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dyt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8C073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as shqyrtimit nuk është konsideruar pasi</w:t>
      </w:r>
      <w:r w:rsidR="008C073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sqarojmë se buxheti i njësive të vetqeverisjes vendore miratohet nga Këshilli Bashkiak.</w:t>
      </w:r>
    </w:p>
    <w:p w:rsidR="008C0735" w:rsidRPr="00181833" w:rsidRDefault="008C0735" w:rsidP="00620FFD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Pika 2.</w:t>
      </w:r>
      <w:r w:rsidR="00E70A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 Pranuar</w:t>
      </w:r>
      <w:r w:rsidR="00E70A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pjes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0A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risht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0A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lidhje me sugjerimin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0A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parashikimin e mund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0A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0A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0A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subjekteve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0A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interesuara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0A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t’u ankuar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0A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rastin </w:t>
      </w:r>
      <w:r w:rsidR="002C2089" w:rsidRP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kur ministri përgjegjës refuzon nxjerrjen e urdhrit për autorizimin e tyre për të vepruar si GVV.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pjes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 tjet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sugjerimit sqarojm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nenin 3, g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rma </w:t>
      </w:r>
      <w:r w:rsidR="008B339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(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l.</w:t>
      </w:r>
      <w:r w:rsidR="008B339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)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rcaktohet se pran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ministris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ngrihet struktura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rgjegj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se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krijimin, mbajtjen dhe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rdit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simin e regjistrit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C20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GVV-ve. </w:t>
      </w:r>
      <w:r w:rsidR="008B339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Verifikimi i dokumentacionit </w:t>
      </w:r>
      <w:r w:rsidR="008B339F" w:rsidRPr="008B339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për plotësimin e kushteve formale dhe ushtrimin e aktivitetit të GVV-ve</w:t>
      </w:r>
      <w:r w:rsidR="008B339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b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8B339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het nga struktura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8B339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rgjegj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8B339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se dhe miratimi i autorizimit b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8B339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het nga Ministri.</w:t>
      </w:r>
    </w:p>
    <w:p w:rsidR="00620FFD" w:rsidRDefault="00620FFD" w:rsidP="0085466C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85466C" w:rsidRDefault="008B339F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e Financave dhe Ekonomis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1818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përmes shkresës nr. 13500, datë 28.7.2021 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shprehur parimisht dakord dhe pa komente/sugjerime.</w:t>
      </w:r>
    </w:p>
    <w:p w:rsidR="008B339F" w:rsidRDefault="008B339F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37303F" w:rsidRDefault="0037303F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6348D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e Brendshme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përmes shkresës nr. 4160/1 datë 04.8.2021</w:t>
      </w:r>
      <w:r w:rsidRPr="0037303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shprehur parimisht dakord me sugjerimin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em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rtimin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nyr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 e duhur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neni3,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kreut I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projektligjit, sugjerim i cili 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marr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konsiderat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dhe reflektuar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projektligj.</w:t>
      </w:r>
    </w:p>
    <w:p w:rsidR="0037303F" w:rsidRDefault="0037303F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85466C" w:rsidRDefault="0037303F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 Evrop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 dhe Pun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2752B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 e Jashtme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përmes shkresës nr. 9166/1 datë 06.8.2021, ka dërguar komentet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tabelat e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rputhshm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të cilat janë pranuar dhe reflektuar.</w:t>
      </w:r>
    </w:p>
    <w:p w:rsidR="00D222A0" w:rsidRDefault="00D222A0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D222A0" w:rsidRDefault="00D222A0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Sekretariati Teknik i K</w:t>
      </w:r>
      <w:r w:rsidR="00705E12"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shillit Konsultativ t</w:t>
      </w:r>
      <w:r w:rsidR="00705E12"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Qeverisjes Q</w:t>
      </w:r>
      <w:r w:rsidR="00705E12"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ndrore me Vet</w:t>
      </w:r>
      <w:r w:rsidR="00705E12"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qeverisjen Vendor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 me shkres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 nr.420/1, dat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19.07.2018 dhe </w:t>
      </w:r>
      <w:r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Agjencia p</w:t>
      </w:r>
      <w:r w:rsidR="00705E12"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 Mb</w:t>
      </w:r>
      <w:r w:rsidR="00705E12"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shtetjen e Vet</w:t>
      </w:r>
      <w:r w:rsidR="00705E12"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8D729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qeverisjes Vendore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me shkres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 nr.420/2, dat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27.07.2021 kan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rcjell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mendimet e dh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na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mbledhjen e K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shillit Konsultativ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Qeverisjes Q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ndrore me Vet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qeverisjen Vendore. Referuar k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tyre shkresave</w:t>
      </w:r>
      <w:r w:rsidRPr="00D222A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Agjencia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Mb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shtetjen e Vet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qeverisjes Vendore shprehet parimisht dakord me projektligjin.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lidhje me sugjerimet e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rcjella, sqarojm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</w:p>
    <w:p w:rsidR="00D222A0" w:rsidRDefault="00D222A0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Sugjerimi 1, q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Nenin 2 “Fusha e Veprimit”,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fund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paragrafit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shtohet “...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nivel q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ndror dhe vendor” 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pranuar dhe reflektuar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projektligj.</w:t>
      </w:r>
    </w:p>
    <w:p w:rsidR="00D222A0" w:rsidRDefault="00D222A0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Sugjerimi 2, nuk 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pranuar, pasi neni 5 (pika 1, g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rmat a, b dhe c) ka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b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j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me parimin e partneritetit dhe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rcakton tipologjin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partner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ve q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marrin pjes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nj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GVV.</w:t>
      </w:r>
    </w:p>
    <w:p w:rsidR="00D222A0" w:rsidRDefault="00D222A0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Sugjerimi 3, q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tek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rkufizimet 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hiqet p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rcaktimi “zona rurale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n-rajonale”, 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pranuar, pasi 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sugjeruar edhe nga Ministria e Drejt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sis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dhe Ministria e Brendshme.</w:t>
      </w:r>
    </w:p>
    <w:p w:rsidR="00D222A0" w:rsidRDefault="00D222A0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Sugjerimi 4, nuk 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pranuar, pasi bashk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punimi me GVV/partner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komb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tar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dhe nd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rkomb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tar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jepet n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nenin 8 – Parimi i rrjet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simit dhe bashk</w:t>
      </w:r>
      <w:r w:rsidR="00705E1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punimit.</w:t>
      </w:r>
    </w:p>
    <w:p w:rsidR="00D222A0" w:rsidRDefault="00D222A0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lastRenderedPageBreak/>
        <w:t>Sugjerimi 5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q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nenin 5 (6) “Parimi Territorial”, pika 3, kufiri minimal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jet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“jo m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pak se 5000 banor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”, p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mos kufizuar zona rurale e malore, ku ka largime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banor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ve dhe p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nxitur dhe mb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shtetur zhvillimin bujq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sor dhe rural 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to zona, me mund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pakta zhvillimi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nuk 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pranuar, pasi kufiri 10000 banor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vendosur nisur edhe nga Masa Leader 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programin IPARD, ndarja administrativo-territoriale, si dhe 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rast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nj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numri m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të vogël 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se 10000 banor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nuk ka aft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manaxhuese p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hartimin, zbatimin dhe monitorimin e strategjis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1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GVV.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3957A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Gjithashtu kufiri 10000 – 150000 banor</w:t>
      </w:r>
      <w:r w:rsidR="00C13E9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957A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C13E9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957A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rcaktohet edhe n</w:t>
      </w:r>
      <w:r w:rsidR="00C13E9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957A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Marr</w:t>
      </w:r>
      <w:r w:rsidR="00C13E9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957A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veshjen Sektoriale ndërmjet Republikës së Shqipërisë dhe Komisionit Evropian.</w:t>
      </w:r>
    </w:p>
    <w:p w:rsidR="00D222A0" w:rsidRDefault="00D222A0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Sugjerimi 6, 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nenin 9 (10), “Struktura e GVV”, pika 3,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riformulohet “Asambleja e P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319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rgjithshme e GVV</w:t>
      </w:r>
      <w:r w:rsidR="00576A7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576A7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576A7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organi m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576A7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i lart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576A7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vendimmarr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576A7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cilin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gjith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an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tar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t e GVV ftohen dhe </w:t>
      </w:r>
      <w:r w:rsidR="00EC3CB8" w:rsidRPr="00EC3CB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marrin pjes</w:t>
      </w:r>
      <w:r w:rsidR="00D2671C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mbledhje,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pakt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 nj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her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vit, </w:t>
      </w:r>
      <w:r w:rsidR="00EC3CB8" w:rsidRPr="00EC3CB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miraton programin e zhvillimit, treguesit kryesor</w:t>
      </w:r>
      <w:r w:rsidR="00D2671C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EC3CB8" w:rsidRPr="00EC3CB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, kostot e shpenzimeve operacionale p</w:t>
      </w:r>
      <w:r w:rsidR="00D2671C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EC3CB8" w:rsidRPr="00EC3CB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 zbatimin e startegjis</w:t>
      </w:r>
      <w:r w:rsidR="00D2671C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EC3CB8" w:rsidRPr="00EC3CB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s</w:t>
      </w:r>
      <w:r w:rsidR="00D2671C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EC3CB8" w:rsidRPr="00EC3CB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zhvillimit bujq</w:t>
      </w:r>
      <w:r w:rsidR="00D2671C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EC3CB8" w:rsidRPr="00EC3CB8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sor e rural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dhe zgjedh nga rradh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 e saj, Bordin dhe Presidentin e GVV. K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to zgjedhje duhet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ndjekin parimin e partneritetit si dhe barazin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territoriale, gjinore dhe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mosh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s”: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nuk 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prauar pasi 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pik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 4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nenit 10, p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rcaktohet se “</w:t>
      </w:r>
      <w:r w:rsidR="00D90389" w:rsidRPr="008265FF">
        <w:rPr>
          <w:rFonts w:ascii="Times New Roman" w:hAnsi="Times New Roman"/>
          <w:sz w:val="24"/>
          <w:szCs w:val="24"/>
        </w:rPr>
        <w:t>Funksionet e Asamblesë së Përgjithshme përcaktohen në statutin e GVV, duke respektuar dispozitat e këtij ligji dhe legjislacionit përkatës në fuqi.</w:t>
      </w:r>
      <w:r w:rsidR="00D90389">
        <w:rPr>
          <w:rFonts w:ascii="Times New Roman" w:hAnsi="Times New Roman"/>
          <w:sz w:val="24"/>
          <w:szCs w:val="24"/>
        </w:rPr>
        <w:t xml:space="preserve">”, </w:t>
      </w:r>
      <w:proofErr w:type="gramStart"/>
      <w:r w:rsidR="00D90389">
        <w:rPr>
          <w:rFonts w:ascii="Times New Roman" w:hAnsi="Times New Roman"/>
          <w:sz w:val="24"/>
          <w:szCs w:val="24"/>
        </w:rPr>
        <w:t>si</w:t>
      </w:r>
      <w:proofErr w:type="gramEnd"/>
      <w:r w:rsidR="00D90389">
        <w:rPr>
          <w:rFonts w:ascii="Times New Roman" w:hAnsi="Times New Roman"/>
          <w:sz w:val="24"/>
          <w:szCs w:val="24"/>
        </w:rPr>
        <w:t xml:space="preserve"> dhe n</w:t>
      </w:r>
      <w:r w:rsidR="00D2671C">
        <w:rPr>
          <w:rFonts w:ascii="Times New Roman" w:hAnsi="Times New Roman"/>
          <w:sz w:val="24"/>
          <w:szCs w:val="24"/>
        </w:rPr>
        <w:t>ë</w:t>
      </w:r>
      <w:r w:rsidR="00D90389">
        <w:rPr>
          <w:rFonts w:ascii="Times New Roman" w:hAnsi="Times New Roman"/>
          <w:sz w:val="24"/>
          <w:szCs w:val="24"/>
        </w:rPr>
        <w:t xml:space="preserve"> nenin 11, pika 2 “</w:t>
      </w:r>
      <w:r w:rsidR="00D90389" w:rsidRPr="008265FF">
        <w:rPr>
          <w:rFonts w:ascii="Times New Roman" w:hAnsi="Times New Roman"/>
          <w:color w:val="000000"/>
          <w:sz w:val="24"/>
          <w:szCs w:val="24"/>
        </w:rPr>
        <w:t>Strategjia e zhvillimit lokal e udhëhequr nga komuniteti miratohet nga Asambleja e Përgjithshme e GVV</w:t>
      </w:r>
      <w:r w:rsidR="00D90389" w:rsidRPr="008265FF">
        <w:rPr>
          <w:rFonts w:ascii="Times New Roman" w:hAnsi="Times New Roman"/>
          <w:sz w:val="24"/>
          <w:szCs w:val="24"/>
        </w:rPr>
        <w:t>, konfirmohet nga Ministria</w:t>
      </w:r>
      <w:r w:rsidR="00D90389" w:rsidRPr="008265FF">
        <w:rPr>
          <w:rFonts w:ascii="Times New Roman" w:hAnsi="Times New Roman"/>
          <w:color w:val="000000"/>
          <w:sz w:val="24"/>
          <w:szCs w:val="24"/>
        </w:rPr>
        <w:t xml:space="preserve"> përgjegjëse për bujqësinë dhe zhvillimin rura</w:t>
      </w:r>
      <w:r w:rsidR="00D90389">
        <w:rPr>
          <w:rFonts w:ascii="Times New Roman" w:hAnsi="Times New Roman"/>
          <w:color w:val="000000"/>
          <w:sz w:val="24"/>
          <w:szCs w:val="24"/>
        </w:rPr>
        <w:t>l…..”</w:t>
      </w:r>
      <w:r w:rsidR="00EC3CB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</w:t>
      </w:r>
    </w:p>
    <w:p w:rsidR="00D222A0" w:rsidRDefault="00D222A0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Sugjerimi 7, 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q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nenin 9 (10), q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rcakton p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rgjegj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9038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Bordit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GVV,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hiqet formulimi “n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çdo rast nuk mund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kalojn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25%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shpenzimeve...”, pasi kostot operative, si element i shpenzimeve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fondeve publike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programit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strategjis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zhvillimit lokal, miratohen nga Asambleja e GVV, nd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rsa Bordi i GVV 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rgjegj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p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autorizimin e shpenzimeve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kostove operative:</w:t>
      </w:r>
      <w:r w:rsidR="00A43E0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1712B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nuk 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712B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712B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pranuar</w:t>
      </w:r>
      <w:r w:rsidR="00922E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pasi </w:t>
      </w:r>
      <w:r w:rsidR="001712B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kjo pik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712B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712B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rcakton q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712B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Bordi i GVV autorizon kryerjen e kostove operative dhe duhet t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712B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sigurohet q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712B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ato nuk kalojn</w:t>
      </w:r>
      <w:r w:rsidR="00D2671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712B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25% </w:t>
      </w:r>
      <w:r w:rsidR="001712B1" w:rsidRPr="008265FF">
        <w:rPr>
          <w:rFonts w:ascii="Times New Roman" w:hAnsi="Times New Roman"/>
          <w:sz w:val="24"/>
          <w:szCs w:val="24"/>
        </w:rPr>
        <w:t>të shpenzimeve të fondeve publike të kryera në kuadër të strategjisë së zhvillimit lokal të udhëhequr nga komuniteti</w:t>
      </w:r>
      <w:r w:rsidR="001712B1">
        <w:rPr>
          <w:rFonts w:ascii="Times New Roman" w:hAnsi="Times New Roman"/>
          <w:sz w:val="24"/>
          <w:szCs w:val="24"/>
        </w:rPr>
        <w:t>.</w:t>
      </w:r>
    </w:p>
    <w:p w:rsidR="00D222A0" w:rsidRDefault="00705E12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Sugjerimi 8, se vendosja e detyrimit të financimit të paktën e 50% të kostove operacionale të GVV-së nga njësitë e vetëqeverisjes vendore, cënon kompetencat e njësive të vetëqeverisjes vendore, është pranuar dhe ndryshuar sipas sugjerimeve edhe të Ministrive të tjera.</w:t>
      </w:r>
    </w:p>
    <w:p w:rsidR="00CA3F2E" w:rsidRDefault="00CA3F2E" w:rsidP="00CA3F2E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q-AL"/>
        </w:rPr>
      </w:pPr>
    </w:p>
    <w:p w:rsidR="00B802EC" w:rsidRDefault="00B802EC" w:rsidP="00B802EC">
      <w:pPr>
        <w:pStyle w:val="ListParagraph"/>
        <w:numPr>
          <w:ilvl w:val="0"/>
          <w:numId w:val="37"/>
        </w:num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p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ribashk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rendim</w:t>
      </w:r>
    </w:p>
    <w:p w:rsidR="00B802EC" w:rsidRDefault="008254CC" w:rsidP="00B802EC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Projektligji është </w:t>
      </w:r>
      <w:r w:rsidR="00CA3F2E"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dërguar për ribashkërendim 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tek</w:t>
      </w:r>
      <w:r w:rsidR="00CA3F2E" w:rsidRPr="008254C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Ministrit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dhe pas sh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q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yrtimit komentet e marra j</w:t>
      </w:r>
      <w:r w:rsidR="00B802EC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an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802EC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konsideruar dhe reflektuar pjes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802EC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risht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si më poshtë:</w:t>
      </w:r>
    </w:p>
    <w:p w:rsidR="00B802EC" w:rsidRDefault="00B802EC" w:rsidP="00B802EC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q-AL"/>
        </w:rPr>
      </w:pPr>
    </w:p>
    <w:p w:rsidR="00CA3F2E" w:rsidRPr="00B802EC" w:rsidRDefault="00CA3F2E" w:rsidP="00B802EC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E74AA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Ministria e Financës dhe Ekonomisë, Ministria për Evropën dhe Punët e Jashtme dhe Ministria </w:t>
      </w:r>
      <w:r w:rsidR="003C556F" w:rsidRPr="00E74AA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 Brendshme</w:t>
      </w:r>
      <w:r w:rsidR="00B802EC" w:rsidRPr="00E74AA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, 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rmes sistemit e-aktet, dat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11.3.2021,  </w:t>
      </w:r>
      <w:r w:rsidR="003C556F"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janë shprehur dakord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:rsidR="00E74AAB" w:rsidRDefault="00CA3F2E" w:rsidP="00E74AAB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E74AA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Ministria e Drejtësisë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E74AAB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</w:t>
      </w:r>
      <w:r w:rsidR="00E74AA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4AAB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rmes </w:t>
      </w:r>
      <w:r w:rsidR="00E74AA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sistemit, </w:t>
      </w:r>
      <w:r w:rsidR="00E74AAB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dat</w:t>
      </w:r>
      <w:r w:rsidR="00E74AA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4AAB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E74AA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11</w:t>
      </w:r>
      <w:r w:rsidR="00E74AAB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  <w:r w:rsidR="00E74AA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</w:t>
      </w:r>
      <w:r w:rsidR="00E74AAB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.20</w:t>
      </w:r>
      <w:r w:rsidR="00E74AA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21</w:t>
      </w:r>
      <w:r w:rsidR="00E74AAB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ka d</w:t>
      </w:r>
      <w:r w:rsidR="00E74AA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4AAB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rguar komentet si m</w:t>
      </w:r>
      <w:r w:rsidR="00E74AA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4AAB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posht</w:t>
      </w:r>
      <w:r w:rsidR="00E74AA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74AAB" w:rsidRPr="0018183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</w:p>
    <w:p w:rsidR="00E74AAB" w:rsidRPr="00DE2577" w:rsidRDefault="00E74AAB" w:rsidP="00E74AAB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Mbi ligjshm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rin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e form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 dhe p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DE2577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rmbjatjes</w:t>
      </w:r>
    </w:p>
    <w:p w:rsidR="00E74AAB" w:rsidRDefault="00E74AAB" w:rsidP="00E74AAB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Shprehet dakort, duke sugjeruar çështje të zbatimit të unifikuar të teknikës legjislative dhe terminologjisë juridike të aktit si mëposhtë:</w:t>
      </w:r>
    </w:p>
    <w:p w:rsidR="00E74AAB" w:rsidRPr="00636DB9" w:rsidRDefault="00E74AAB" w:rsidP="00E74AAB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Mbi ç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shtjet e zbatimit 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unifikuar 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teknik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Pr="00636DB9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s legjislative:</w:t>
      </w:r>
    </w:p>
    <w:p w:rsidR="00FB13C2" w:rsidRDefault="00B92E38" w:rsidP="00E74AAB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lastRenderedPageBreak/>
        <w:t>Sugjerimet jan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reflektuar plot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sisht dhe nuk 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nevojshme t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rid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rgohet p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dakord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pasi nj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pjes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tyre jan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reflektuar dhe n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drafti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ararardh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(</w:t>
      </w:r>
      <w:r w:rsidR="00FB13C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Pika 2.1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2.2,)</w:t>
      </w:r>
      <w:r w:rsidR="00FB13C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:rsidR="00FB13C2" w:rsidRDefault="00B92E38" w:rsidP="00E74AAB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B802E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Sqarojmë se lidhur me sugjerimin e dhënë në pikën 2.6 të shkresës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FB13C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FB13C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FB13C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konsideruar dhe nuk  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sht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reflektuar pasi nuk ngrihet struktur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re por Ministri me urdh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cakton nj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struktur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nj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</w:t>
      </w:r>
      <w:r w:rsid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grup,</w:t>
      </w:r>
      <w:r w:rsid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294A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kryerjen e procedurave.</w:t>
      </w:r>
    </w:p>
    <w:p w:rsidR="00143EFC" w:rsidRPr="00143EFC" w:rsidRDefault="00143EFC" w:rsidP="00143EFC">
      <w:pP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143EF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Referuar  nevojës për financime të mundshme nga fondi IPARD për subjektet e këtij ligji, sugjerojmë që Këshilli i Ministrave të dërgoj kërkesë që projektligji të shqyrtohet dhe të miratohet me procedurë të përshpejtuar.</w:t>
      </w:r>
    </w:p>
    <w:p w:rsidR="0085466C" w:rsidRDefault="0085466C" w:rsidP="00181833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bookmarkStart w:id="3" w:name="_GoBack"/>
      <w:bookmarkEnd w:id="3"/>
    </w:p>
    <w:p w:rsidR="00A566C2" w:rsidRPr="00181833" w:rsidRDefault="00DF7F28" w:rsidP="001818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IX.  </w:t>
      </w:r>
      <w:r w:rsidR="00A566C2" w:rsidRPr="0018183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RAPORTI I VLERËSIMIT TË TË ARDHURAVE DHE SHPENZIMEVE BUXHETORE</w:t>
      </w:r>
    </w:p>
    <w:p w:rsidR="00A566C2" w:rsidRPr="00181833" w:rsidRDefault="00A566C2" w:rsidP="001818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566C2" w:rsidRDefault="00A566C2" w:rsidP="001818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Projektligji i propozuar </w:t>
      </w:r>
      <w:r w:rsidR="00AF000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nuk </w:t>
      </w:r>
      <w:r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>mbart efekte financiare për buxhetin</w:t>
      </w:r>
      <w:r w:rsidR="00DE1882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e shtetit</w:t>
      </w:r>
      <w:r w:rsidR="00AF0001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EF3CE2" w:rsidRPr="001818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:rsidR="006B0BA9" w:rsidRDefault="006B0BA9" w:rsidP="001818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6B0BA9" w:rsidRDefault="006B0BA9" w:rsidP="001818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1A526C" w:rsidRPr="007F1C3F" w:rsidRDefault="001A526C" w:rsidP="00F107D4">
      <w:pPr>
        <w:tabs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A566C2" w:rsidRPr="007F1C3F" w:rsidRDefault="001A526C" w:rsidP="00F107D4">
      <w:pPr>
        <w:tabs>
          <w:tab w:val="left" w:pos="1080"/>
          <w:tab w:val="left" w:pos="1440"/>
        </w:tabs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F1C3F">
        <w:rPr>
          <w:rFonts w:ascii="Times New Roman" w:hAnsi="Times New Roman" w:cs="Times New Roman"/>
          <w:b/>
          <w:sz w:val="28"/>
          <w:szCs w:val="28"/>
          <w:lang w:val="sq-AL"/>
        </w:rPr>
        <w:t xml:space="preserve">      </w:t>
      </w:r>
      <w:r w:rsidR="00DF7F28" w:rsidRPr="007F1C3F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C67756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D2671C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E24341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7F1C3F">
        <w:rPr>
          <w:rFonts w:ascii="Times New Roman" w:hAnsi="Times New Roman" w:cs="Times New Roman"/>
          <w:b/>
          <w:sz w:val="28"/>
          <w:szCs w:val="28"/>
          <w:lang w:val="sq-AL"/>
        </w:rPr>
        <w:t>MINI</w:t>
      </w:r>
      <w:r w:rsidR="00A566C2" w:rsidRPr="007F1C3F">
        <w:rPr>
          <w:rFonts w:ascii="Times New Roman" w:hAnsi="Times New Roman" w:cs="Times New Roman"/>
          <w:b/>
          <w:sz w:val="28"/>
          <w:szCs w:val="28"/>
          <w:lang w:val="sq-AL"/>
        </w:rPr>
        <w:t>S</w:t>
      </w:r>
      <w:r w:rsidRPr="007F1C3F">
        <w:rPr>
          <w:rFonts w:ascii="Times New Roman" w:hAnsi="Times New Roman" w:cs="Times New Roman"/>
          <w:b/>
          <w:sz w:val="28"/>
          <w:szCs w:val="28"/>
          <w:lang w:val="sq-AL"/>
        </w:rPr>
        <w:t>TR</w:t>
      </w:r>
      <w:r w:rsidR="00A566C2" w:rsidRPr="007F1C3F">
        <w:rPr>
          <w:rFonts w:ascii="Times New Roman" w:hAnsi="Times New Roman" w:cs="Times New Roman"/>
          <w:b/>
          <w:sz w:val="28"/>
          <w:szCs w:val="28"/>
          <w:lang w:val="sq-AL"/>
        </w:rPr>
        <w:t>I</w:t>
      </w:r>
    </w:p>
    <w:p w:rsidR="00DF7F28" w:rsidRPr="007F1C3F" w:rsidRDefault="00DF7F28" w:rsidP="00F107D4">
      <w:pPr>
        <w:tabs>
          <w:tab w:val="left" w:pos="1080"/>
          <w:tab w:val="left" w:pos="1440"/>
        </w:tabs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A566C2" w:rsidRPr="007F1C3F" w:rsidRDefault="009C7A31" w:rsidP="00F107D4">
      <w:pPr>
        <w:spacing w:after="0" w:line="240" w:lineRule="auto"/>
        <w:ind w:left="5040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1A526C" w:rsidRPr="007F1C3F">
        <w:rPr>
          <w:rFonts w:ascii="Times New Roman" w:hAnsi="Times New Roman" w:cs="Times New Roman"/>
          <w:b/>
          <w:sz w:val="28"/>
          <w:szCs w:val="28"/>
          <w:lang w:val="sq-AL"/>
        </w:rPr>
        <w:t xml:space="preserve">               </w:t>
      </w:r>
      <w:r w:rsidR="00705E12">
        <w:rPr>
          <w:rFonts w:ascii="Times New Roman" w:hAnsi="Times New Roman" w:cs="Times New Roman"/>
          <w:b/>
          <w:sz w:val="28"/>
          <w:szCs w:val="28"/>
          <w:lang w:val="sq-AL"/>
        </w:rPr>
        <w:t>FRIDA KRIFCA</w:t>
      </w:r>
    </w:p>
    <w:p w:rsidR="006B0BA9" w:rsidRDefault="00A566C2" w:rsidP="00F107D4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F1C3F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</w:p>
    <w:p w:rsidR="006B0BA9" w:rsidRDefault="006B0BA9" w:rsidP="00F107D4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A566C2" w:rsidRPr="007F1C3F" w:rsidRDefault="00A566C2" w:rsidP="00F107D4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F1C3F">
        <w:rPr>
          <w:rFonts w:ascii="Times New Roman" w:hAnsi="Times New Roman" w:cs="Times New Roman"/>
          <w:b/>
          <w:sz w:val="28"/>
          <w:szCs w:val="28"/>
          <w:lang w:val="sq-AL"/>
        </w:rPr>
        <w:t xml:space="preserve">                                                                                         </w:t>
      </w:r>
    </w:p>
    <w:p w:rsidR="00C63E00" w:rsidRPr="00E24341" w:rsidRDefault="001A526C" w:rsidP="00F107D4">
      <w:pPr>
        <w:spacing w:after="0" w:line="240" w:lineRule="auto"/>
        <w:rPr>
          <w:rFonts w:ascii="Times New Roman" w:hAnsi="Times New Roman" w:cs="Times New Roman"/>
          <w:b/>
          <w:szCs w:val="28"/>
          <w:lang w:val="sq-AL"/>
        </w:rPr>
      </w:pPr>
      <w:r w:rsidRPr="00E24341">
        <w:rPr>
          <w:rFonts w:ascii="Times New Roman" w:hAnsi="Times New Roman" w:cs="Times New Roman"/>
          <w:b/>
          <w:szCs w:val="28"/>
          <w:lang w:val="sq-AL"/>
        </w:rPr>
        <w:t>Grupi i pun</w:t>
      </w:r>
      <w:r w:rsidR="00D4734C" w:rsidRPr="00E24341">
        <w:rPr>
          <w:rFonts w:ascii="Times New Roman" w:hAnsi="Times New Roman" w:cs="Times New Roman"/>
          <w:b/>
          <w:szCs w:val="28"/>
          <w:lang w:val="sq-AL"/>
        </w:rPr>
        <w:t>ë</w:t>
      </w:r>
      <w:r w:rsidRPr="00E24341">
        <w:rPr>
          <w:rFonts w:ascii="Times New Roman" w:hAnsi="Times New Roman" w:cs="Times New Roman"/>
          <w:b/>
          <w:szCs w:val="28"/>
          <w:lang w:val="sq-AL"/>
        </w:rPr>
        <w:t xml:space="preserve">s </w:t>
      </w:r>
    </w:p>
    <w:p w:rsidR="00BE493B" w:rsidRPr="00E24341" w:rsidRDefault="002D186B" w:rsidP="00F107D4">
      <w:pPr>
        <w:spacing w:after="0" w:line="240" w:lineRule="auto"/>
        <w:rPr>
          <w:rFonts w:ascii="Times New Roman" w:hAnsi="Times New Roman" w:cs="Times New Roman"/>
          <w:szCs w:val="28"/>
          <w:lang w:val="sq-AL"/>
        </w:rPr>
      </w:pPr>
      <w:r>
        <w:rPr>
          <w:rFonts w:ascii="Times New Roman" w:hAnsi="Times New Roman" w:cs="Times New Roman"/>
          <w:szCs w:val="28"/>
          <w:lang w:val="sq-AL"/>
        </w:rPr>
        <w:t>Lauresha Grezda</w:t>
      </w:r>
    </w:p>
    <w:p w:rsidR="00BE493B" w:rsidRPr="00E24341" w:rsidRDefault="00BE493B" w:rsidP="00F107D4">
      <w:pPr>
        <w:spacing w:after="0" w:line="240" w:lineRule="auto"/>
        <w:rPr>
          <w:rFonts w:ascii="Times New Roman" w:hAnsi="Times New Roman" w:cs="Times New Roman"/>
          <w:szCs w:val="28"/>
          <w:lang w:val="sq-AL"/>
        </w:rPr>
      </w:pPr>
      <w:r w:rsidRPr="00E24341">
        <w:rPr>
          <w:rFonts w:ascii="Times New Roman" w:hAnsi="Times New Roman" w:cs="Times New Roman"/>
          <w:szCs w:val="28"/>
          <w:lang w:val="sq-AL"/>
        </w:rPr>
        <w:t>Grigor Gjeçi</w:t>
      </w:r>
    </w:p>
    <w:p w:rsidR="00C63E00" w:rsidRPr="007F1C3F" w:rsidRDefault="00BE493B" w:rsidP="00F107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E24341">
        <w:rPr>
          <w:rFonts w:ascii="Times New Roman" w:hAnsi="Times New Roman" w:cs="Times New Roman"/>
          <w:szCs w:val="28"/>
          <w:lang w:val="sq-AL"/>
        </w:rPr>
        <w:t>Festim Shytaj</w:t>
      </w:r>
    </w:p>
    <w:sectPr w:rsidR="00C63E00" w:rsidRPr="007F1C3F" w:rsidSect="000D271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2D" w:rsidRDefault="0061622D" w:rsidP="007D0A25">
      <w:pPr>
        <w:spacing w:after="0" w:line="240" w:lineRule="auto"/>
      </w:pPr>
      <w:r>
        <w:separator/>
      </w:r>
    </w:p>
  </w:endnote>
  <w:endnote w:type="continuationSeparator" w:id="0">
    <w:p w:rsidR="0061622D" w:rsidRDefault="0061622D" w:rsidP="007D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A25" w:rsidRDefault="007D0A25" w:rsidP="007D0A25">
    <w:pPr>
      <w:pStyle w:val="Footer"/>
      <w:pBdr>
        <w:top w:val="thinThickSmallGap" w:sz="24" w:space="0" w:color="622423" w:themeColor="accent2" w:themeShade="7F"/>
      </w:pBdr>
      <w:rPr>
        <w:lang w:val="en-GB"/>
      </w:rPr>
    </w:pPr>
  </w:p>
  <w:p w:rsidR="007D0A25" w:rsidRPr="002D186B" w:rsidRDefault="007D0A25" w:rsidP="007D0A25">
    <w:pPr>
      <w:tabs>
        <w:tab w:val="left" w:pos="9180"/>
      </w:tabs>
      <w:spacing w:after="0" w:line="240" w:lineRule="auto"/>
      <w:rPr>
        <w:rFonts w:asciiTheme="majorHAnsi" w:hAnsiTheme="majorHAnsi"/>
      </w:rPr>
    </w:pPr>
    <w:r w:rsidRPr="002D186B">
      <w:rPr>
        <w:rFonts w:ascii="Times New Roman" w:eastAsia="Times New Roman" w:hAnsi="Times New Roman" w:cs="Times New Roman"/>
        <w:bCs/>
        <w:lang w:val="sq-AL"/>
      </w:rPr>
      <w:t xml:space="preserve">Relacion për projektligjin </w:t>
    </w:r>
    <w:r w:rsidRPr="002D186B">
      <w:rPr>
        <w:rFonts w:ascii="Times New Roman" w:hAnsi="Times New Roman"/>
      </w:rPr>
      <w:t xml:space="preserve">“Për </w:t>
    </w:r>
    <w:r w:rsidR="00F107D4" w:rsidRPr="002D186B">
      <w:rPr>
        <w:rFonts w:ascii="Times New Roman" w:hAnsi="Times New Roman"/>
      </w:rPr>
      <w:t>organizimin dhe funksionimin e grupeve vendore t</w:t>
    </w:r>
    <w:r w:rsidR="00D4734C" w:rsidRPr="002D186B">
      <w:rPr>
        <w:rFonts w:ascii="Times New Roman" w:hAnsi="Times New Roman"/>
      </w:rPr>
      <w:t>ë</w:t>
    </w:r>
    <w:r w:rsidR="00F107D4" w:rsidRPr="002D186B">
      <w:rPr>
        <w:rFonts w:ascii="Times New Roman" w:hAnsi="Times New Roman"/>
      </w:rPr>
      <w:t xml:space="preserve"> veprimit”.</w:t>
    </w:r>
    <w:r w:rsidRPr="002D186B">
      <w:rPr>
        <w:rFonts w:ascii="Times New Roman" w:hAnsi="Times New Roman"/>
      </w:rPr>
      <w:t xml:space="preserve"> </w:t>
    </w:r>
  </w:p>
  <w:p w:rsidR="007D0A25" w:rsidRDefault="007D0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2D" w:rsidRDefault="0061622D" w:rsidP="007D0A25">
      <w:pPr>
        <w:spacing w:after="0" w:line="240" w:lineRule="auto"/>
      </w:pPr>
      <w:r>
        <w:separator/>
      </w:r>
    </w:p>
  </w:footnote>
  <w:footnote w:type="continuationSeparator" w:id="0">
    <w:p w:rsidR="0061622D" w:rsidRDefault="0061622D" w:rsidP="007D0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260"/>
    <w:multiLevelType w:val="hybridMultilevel"/>
    <w:tmpl w:val="00F65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58C6"/>
    <w:multiLevelType w:val="hybridMultilevel"/>
    <w:tmpl w:val="C506E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26F7"/>
    <w:multiLevelType w:val="hybridMultilevel"/>
    <w:tmpl w:val="BAB40A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1659D"/>
    <w:multiLevelType w:val="hybridMultilevel"/>
    <w:tmpl w:val="6B60A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604"/>
    <w:multiLevelType w:val="hybridMultilevel"/>
    <w:tmpl w:val="6B60A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546CC"/>
    <w:multiLevelType w:val="hybridMultilevel"/>
    <w:tmpl w:val="B338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789B"/>
    <w:multiLevelType w:val="hybridMultilevel"/>
    <w:tmpl w:val="3D566EE2"/>
    <w:lvl w:ilvl="0" w:tplc="678CF0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44F78"/>
    <w:multiLevelType w:val="hybridMultilevel"/>
    <w:tmpl w:val="C6D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E7BD6"/>
    <w:multiLevelType w:val="hybridMultilevel"/>
    <w:tmpl w:val="F104EE18"/>
    <w:lvl w:ilvl="0" w:tplc="DE7A7E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86ED5"/>
    <w:multiLevelType w:val="hybridMultilevel"/>
    <w:tmpl w:val="89029DF0"/>
    <w:lvl w:ilvl="0" w:tplc="41B4FCB6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C488D"/>
    <w:multiLevelType w:val="hybridMultilevel"/>
    <w:tmpl w:val="BAB40A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876AF4"/>
    <w:multiLevelType w:val="hybridMultilevel"/>
    <w:tmpl w:val="E2A8C5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652D1F"/>
    <w:multiLevelType w:val="hybridMultilevel"/>
    <w:tmpl w:val="7AD48C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2AAD074">
      <w:start w:val="1"/>
      <w:numFmt w:val="lowerLetter"/>
      <w:lvlText w:val="(%2)"/>
      <w:lvlJc w:val="left"/>
      <w:pPr>
        <w:ind w:left="151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12D52"/>
    <w:multiLevelType w:val="hybridMultilevel"/>
    <w:tmpl w:val="D7044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A0557"/>
    <w:multiLevelType w:val="hybridMultilevel"/>
    <w:tmpl w:val="22A0AB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D80586"/>
    <w:multiLevelType w:val="hybridMultilevel"/>
    <w:tmpl w:val="B03C7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35F8C"/>
    <w:multiLevelType w:val="hybridMultilevel"/>
    <w:tmpl w:val="9140DDF2"/>
    <w:lvl w:ilvl="0" w:tplc="0409000F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7" w15:restartNumberingAfterBreak="0">
    <w:nsid w:val="29E859AD"/>
    <w:multiLevelType w:val="hybridMultilevel"/>
    <w:tmpl w:val="F55C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B705B"/>
    <w:multiLevelType w:val="hybridMultilevel"/>
    <w:tmpl w:val="5124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2DC7D0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254C6"/>
    <w:multiLevelType w:val="hybridMultilevel"/>
    <w:tmpl w:val="DD0C9C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760A9"/>
    <w:multiLevelType w:val="hybridMultilevel"/>
    <w:tmpl w:val="2E2CC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82CD3"/>
    <w:multiLevelType w:val="hybridMultilevel"/>
    <w:tmpl w:val="E4E00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C6F2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4006D"/>
    <w:multiLevelType w:val="hybridMultilevel"/>
    <w:tmpl w:val="BFCEB4E2"/>
    <w:lvl w:ilvl="0" w:tplc="F2C4CF5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A40C0"/>
    <w:multiLevelType w:val="hybridMultilevel"/>
    <w:tmpl w:val="B3F0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B00"/>
    <w:multiLevelType w:val="hybridMultilevel"/>
    <w:tmpl w:val="F55C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20DA"/>
    <w:multiLevelType w:val="hybridMultilevel"/>
    <w:tmpl w:val="5816BBAE"/>
    <w:lvl w:ilvl="0" w:tplc="C994EA2C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C33E2"/>
    <w:multiLevelType w:val="hybridMultilevel"/>
    <w:tmpl w:val="39909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4399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616E3A"/>
    <w:multiLevelType w:val="hybridMultilevel"/>
    <w:tmpl w:val="6A34B6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0F0F5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366CE7"/>
    <w:multiLevelType w:val="hybridMultilevel"/>
    <w:tmpl w:val="58E84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F546E9"/>
    <w:multiLevelType w:val="hybridMultilevel"/>
    <w:tmpl w:val="E9A64994"/>
    <w:lvl w:ilvl="0" w:tplc="39E69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6603D"/>
    <w:multiLevelType w:val="hybridMultilevel"/>
    <w:tmpl w:val="385C6F8E"/>
    <w:lvl w:ilvl="0" w:tplc="AC56DF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17982"/>
    <w:multiLevelType w:val="hybridMultilevel"/>
    <w:tmpl w:val="D7044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71900"/>
    <w:multiLevelType w:val="hybridMultilevel"/>
    <w:tmpl w:val="C9EE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969AE"/>
    <w:multiLevelType w:val="hybridMultilevel"/>
    <w:tmpl w:val="0AFA84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1B739B"/>
    <w:multiLevelType w:val="hybridMultilevel"/>
    <w:tmpl w:val="9ECC90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F491A"/>
    <w:multiLevelType w:val="hybridMultilevel"/>
    <w:tmpl w:val="B338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22"/>
  </w:num>
  <w:num w:numId="5">
    <w:abstractNumId w:val="25"/>
  </w:num>
  <w:num w:numId="6">
    <w:abstractNumId w:val="12"/>
  </w:num>
  <w:num w:numId="7">
    <w:abstractNumId w:val="24"/>
  </w:num>
  <w:num w:numId="8">
    <w:abstractNumId w:val="17"/>
  </w:num>
  <w:num w:numId="9">
    <w:abstractNumId w:val="8"/>
  </w:num>
  <w:num w:numId="10">
    <w:abstractNumId w:val="1"/>
  </w:num>
  <w:num w:numId="11">
    <w:abstractNumId w:val="33"/>
  </w:num>
  <w:num w:numId="12">
    <w:abstractNumId w:val="10"/>
  </w:num>
  <w:num w:numId="13">
    <w:abstractNumId w:val="16"/>
  </w:num>
  <w:num w:numId="14">
    <w:abstractNumId w:val="13"/>
  </w:num>
  <w:num w:numId="15">
    <w:abstractNumId w:val="2"/>
  </w:num>
  <w:num w:numId="16">
    <w:abstractNumId w:val="32"/>
  </w:num>
  <w:num w:numId="17">
    <w:abstractNumId w:val="30"/>
  </w:num>
  <w:num w:numId="18">
    <w:abstractNumId w:val="19"/>
  </w:num>
  <w:num w:numId="19">
    <w:abstractNumId w:val="18"/>
  </w:num>
  <w:num w:numId="20">
    <w:abstractNumId w:val="21"/>
  </w:num>
  <w:num w:numId="21">
    <w:abstractNumId w:val="11"/>
  </w:num>
  <w:num w:numId="22">
    <w:abstractNumId w:val="3"/>
  </w:num>
  <w:num w:numId="23">
    <w:abstractNumId w:val="4"/>
  </w:num>
  <w:num w:numId="24">
    <w:abstractNumId w:val="28"/>
  </w:num>
  <w:num w:numId="25">
    <w:abstractNumId w:val="31"/>
  </w:num>
  <w:num w:numId="26">
    <w:abstractNumId w:val="7"/>
  </w:num>
  <w:num w:numId="27">
    <w:abstractNumId w:val="26"/>
  </w:num>
  <w:num w:numId="28">
    <w:abstractNumId w:val="29"/>
  </w:num>
  <w:num w:numId="29">
    <w:abstractNumId w:val="14"/>
  </w:num>
  <w:num w:numId="30">
    <w:abstractNumId w:val="34"/>
  </w:num>
  <w:num w:numId="31">
    <w:abstractNumId w:val="35"/>
  </w:num>
  <w:num w:numId="32">
    <w:abstractNumId w:val="0"/>
  </w:num>
  <w:num w:numId="33">
    <w:abstractNumId w:val="5"/>
  </w:num>
  <w:num w:numId="34">
    <w:abstractNumId w:val="36"/>
  </w:num>
  <w:num w:numId="35">
    <w:abstractNumId w:val="15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C2"/>
    <w:rsid w:val="00013936"/>
    <w:rsid w:val="000354DC"/>
    <w:rsid w:val="0003579D"/>
    <w:rsid w:val="00050C41"/>
    <w:rsid w:val="0005335F"/>
    <w:rsid w:val="000561CF"/>
    <w:rsid w:val="000B008A"/>
    <w:rsid w:val="000D193D"/>
    <w:rsid w:val="000D271A"/>
    <w:rsid w:val="000E40C6"/>
    <w:rsid w:val="000F15E8"/>
    <w:rsid w:val="000F6F74"/>
    <w:rsid w:val="001027B0"/>
    <w:rsid w:val="00104CE5"/>
    <w:rsid w:val="00113AAE"/>
    <w:rsid w:val="0012051B"/>
    <w:rsid w:val="00135A21"/>
    <w:rsid w:val="00143E1F"/>
    <w:rsid w:val="00143EFC"/>
    <w:rsid w:val="00154EDA"/>
    <w:rsid w:val="00161651"/>
    <w:rsid w:val="001712B1"/>
    <w:rsid w:val="00181833"/>
    <w:rsid w:val="00184750"/>
    <w:rsid w:val="001A3466"/>
    <w:rsid w:val="001A526C"/>
    <w:rsid w:val="001B7619"/>
    <w:rsid w:val="001C4D73"/>
    <w:rsid w:val="001E4633"/>
    <w:rsid w:val="00206FBD"/>
    <w:rsid w:val="00207D17"/>
    <w:rsid w:val="0023389E"/>
    <w:rsid w:val="00245189"/>
    <w:rsid w:val="00253041"/>
    <w:rsid w:val="002561D9"/>
    <w:rsid w:val="00263C72"/>
    <w:rsid w:val="002752BD"/>
    <w:rsid w:val="00294A67"/>
    <w:rsid w:val="002B44EA"/>
    <w:rsid w:val="002C2089"/>
    <w:rsid w:val="002C495C"/>
    <w:rsid w:val="002D186B"/>
    <w:rsid w:val="002E34D1"/>
    <w:rsid w:val="002F00E1"/>
    <w:rsid w:val="00303127"/>
    <w:rsid w:val="003071C4"/>
    <w:rsid w:val="00330E40"/>
    <w:rsid w:val="003527BA"/>
    <w:rsid w:val="00354349"/>
    <w:rsid w:val="0037303F"/>
    <w:rsid w:val="00383242"/>
    <w:rsid w:val="003957A0"/>
    <w:rsid w:val="003C556F"/>
    <w:rsid w:val="003C662C"/>
    <w:rsid w:val="003E45B4"/>
    <w:rsid w:val="003E5F4D"/>
    <w:rsid w:val="003F2B1C"/>
    <w:rsid w:val="00415971"/>
    <w:rsid w:val="00442637"/>
    <w:rsid w:val="00487F7D"/>
    <w:rsid w:val="004937C4"/>
    <w:rsid w:val="00493EAC"/>
    <w:rsid w:val="004A7D09"/>
    <w:rsid w:val="004C6FAE"/>
    <w:rsid w:val="004E2166"/>
    <w:rsid w:val="00505F91"/>
    <w:rsid w:val="0052028B"/>
    <w:rsid w:val="00520EC2"/>
    <w:rsid w:val="00544334"/>
    <w:rsid w:val="005457D4"/>
    <w:rsid w:val="00567566"/>
    <w:rsid w:val="00576A76"/>
    <w:rsid w:val="00577D30"/>
    <w:rsid w:val="005A17AC"/>
    <w:rsid w:val="005B03AF"/>
    <w:rsid w:val="005E2330"/>
    <w:rsid w:val="005E6A57"/>
    <w:rsid w:val="005F6EA4"/>
    <w:rsid w:val="00615C03"/>
    <w:rsid w:val="0061622D"/>
    <w:rsid w:val="006173FE"/>
    <w:rsid w:val="00620FFD"/>
    <w:rsid w:val="00624A9D"/>
    <w:rsid w:val="006348D5"/>
    <w:rsid w:val="00636DB9"/>
    <w:rsid w:val="0066502A"/>
    <w:rsid w:val="0069243E"/>
    <w:rsid w:val="006B0BA9"/>
    <w:rsid w:val="006B1812"/>
    <w:rsid w:val="006C7EDF"/>
    <w:rsid w:val="006E149C"/>
    <w:rsid w:val="006E2F42"/>
    <w:rsid w:val="00705E12"/>
    <w:rsid w:val="00742B7F"/>
    <w:rsid w:val="007619C7"/>
    <w:rsid w:val="00763156"/>
    <w:rsid w:val="0076421A"/>
    <w:rsid w:val="00774ACA"/>
    <w:rsid w:val="00781D4C"/>
    <w:rsid w:val="00784440"/>
    <w:rsid w:val="007A0117"/>
    <w:rsid w:val="007B01BE"/>
    <w:rsid w:val="007B0E31"/>
    <w:rsid w:val="007C2E67"/>
    <w:rsid w:val="007D0A25"/>
    <w:rsid w:val="007E00F3"/>
    <w:rsid w:val="007E1818"/>
    <w:rsid w:val="007E2CC4"/>
    <w:rsid w:val="007F1C3F"/>
    <w:rsid w:val="00806893"/>
    <w:rsid w:val="00807854"/>
    <w:rsid w:val="008254CC"/>
    <w:rsid w:val="00836F44"/>
    <w:rsid w:val="00852563"/>
    <w:rsid w:val="0085466C"/>
    <w:rsid w:val="008945E2"/>
    <w:rsid w:val="008B339F"/>
    <w:rsid w:val="008C0454"/>
    <w:rsid w:val="008C0735"/>
    <w:rsid w:val="008D7291"/>
    <w:rsid w:val="00900A89"/>
    <w:rsid w:val="00905321"/>
    <w:rsid w:val="00906110"/>
    <w:rsid w:val="00920646"/>
    <w:rsid w:val="00922E4A"/>
    <w:rsid w:val="00926A0F"/>
    <w:rsid w:val="00927725"/>
    <w:rsid w:val="00931AAC"/>
    <w:rsid w:val="00946A4E"/>
    <w:rsid w:val="00960E60"/>
    <w:rsid w:val="009713CD"/>
    <w:rsid w:val="00983300"/>
    <w:rsid w:val="00990092"/>
    <w:rsid w:val="009954CD"/>
    <w:rsid w:val="009A0C6B"/>
    <w:rsid w:val="009B4576"/>
    <w:rsid w:val="009C7A31"/>
    <w:rsid w:val="009D4CE4"/>
    <w:rsid w:val="009D712C"/>
    <w:rsid w:val="009F1F9E"/>
    <w:rsid w:val="00A21C47"/>
    <w:rsid w:val="00A4023A"/>
    <w:rsid w:val="00A4186B"/>
    <w:rsid w:val="00A43E09"/>
    <w:rsid w:val="00A45E80"/>
    <w:rsid w:val="00A566C2"/>
    <w:rsid w:val="00A75C46"/>
    <w:rsid w:val="00A81981"/>
    <w:rsid w:val="00A820C4"/>
    <w:rsid w:val="00A8709D"/>
    <w:rsid w:val="00AA76CE"/>
    <w:rsid w:val="00AB1178"/>
    <w:rsid w:val="00AB2002"/>
    <w:rsid w:val="00AB2C41"/>
    <w:rsid w:val="00AB5C7C"/>
    <w:rsid w:val="00AC32C5"/>
    <w:rsid w:val="00AE1E94"/>
    <w:rsid w:val="00AF0001"/>
    <w:rsid w:val="00AF1EC8"/>
    <w:rsid w:val="00B06475"/>
    <w:rsid w:val="00B21F2E"/>
    <w:rsid w:val="00B32366"/>
    <w:rsid w:val="00B7035A"/>
    <w:rsid w:val="00B71FEB"/>
    <w:rsid w:val="00B802EC"/>
    <w:rsid w:val="00B806CC"/>
    <w:rsid w:val="00B8177E"/>
    <w:rsid w:val="00B843AE"/>
    <w:rsid w:val="00B8606C"/>
    <w:rsid w:val="00B92913"/>
    <w:rsid w:val="00B92E38"/>
    <w:rsid w:val="00B96FC7"/>
    <w:rsid w:val="00BB688A"/>
    <w:rsid w:val="00BE493B"/>
    <w:rsid w:val="00BF7E8D"/>
    <w:rsid w:val="00C073BA"/>
    <w:rsid w:val="00C13E99"/>
    <w:rsid w:val="00C241CC"/>
    <w:rsid w:val="00C63E00"/>
    <w:rsid w:val="00C640E9"/>
    <w:rsid w:val="00C6517E"/>
    <w:rsid w:val="00C67756"/>
    <w:rsid w:val="00C926A6"/>
    <w:rsid w:val="00CA3F2E"/>
    <w:rsid w:val="00CD0035"/>
    <w:rsid w:val="00CD7A96"/>
    <w:rsid w:val="00CE1F77"/>
    <w:rsid w:val="00CE42F2"/>
    <w:rsid w:val="00CE5F71"/>
    <w:rsid w:val="00CF18E5"/>
    <w:rsid w:val="00D04B22"/>
    <w:rsid w:val="00D222A0"/>
    <w:rsid w:val="00D24026"/>
    <w:rsid w:val="00D2671C"/>
    <w:rsid w:val="00D319B8"/>
    <w:rsid w:val="00D35229"/>
    <w:rsid w:val="00D4734C"/>
    <w:rsid w:val="00D729A0"/>
    <w:rsid w:val="00D84D21"/>
    <w:rsid w:val="00D90389"/>
    <w:rsid w:val="00D91C85"/>
    <w:rsid w:val="00DC41BD"/>
    <w:rsid w:val="00DD189E"/>
    <w:rsid w:val="00DD2D18"/>
    <w:rsid w:val="00DD678B"/>
    <w:rsid w:val="00DE1882"/>
    <w:rsid w:val="00DE2577"/>
    <w:rsid w:val="00DF7F28"/>
    <w:rsid w:val="00E040FB"/>
    <w:rsid w:val="00E211BB"/>
    <w:rsid w:val="00E24341"/>
    <w:rsid w:val="00E268F2"/>
    <w:rsid w:val="00E355FE"/>
    <w:rsid w:val="00E52267"/>
    <w:rsid w:val="00E541E0"/>
    <w:rsid w:val="00E56824"/>
    <w:rsid w:val="00E64375"/>
    <w:rsid w:val="00E66C80"/>
    <w:rsid w:val="00E70A6A"/>
    <w:rsid w:val="00E74AAB"/>
    <w:rsid w:val="00EA3B17"/>
    <w:rsid w:val="00EC3CB8"/>
    <w:rsid w:val="00ED45B5"/>
    <w:rsid w:val="00EF3CE2"/>
    <w:rsid w:val="00EF445E"/>
    <w:rsid w:val="00F01746"/>
    <w:rsid w:val="00F107D4"/>
    <w:rsid w:val="00F36257"/>
    <w:rsid w:val="00F50523"/>
    <w:rsid w:val="00F62289"/>
    <w:rsid w:val="00F65642"/>
    <w:rsid w:val="00F705BA"/>
    <w:rsid w:val="00F71D44"/>
    <w:rsid w:val="00FB0818"/>
    <w:rsid w:val="00FB13C2"/>
    <w:rsid w:val="00FE2FD4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0C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6C2"/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526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3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A2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A2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25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7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D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D3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D30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1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customStyle="1" w:styleId="Kzepesrcs12jellszn1">
    <w:name w:val="Közepes rács 1 – 2. jelölőszín1"/>
    <w:basedOn w:val="Normal"/>
    <w:uiPriority w:val="34"/>
    <w:qFormat/>
    <w:rsid w:val="00F107D4"/>
    <w:pPr>
      <w:ind w:left="720"/>
      <w:contextualSpacing/>
    </w:pPr>
    <w:rPr>
      <w:rFonts w:ascii="Calibri" w:eastAsia="Times New Roman" w:hAnsi="Calibri" w:cs="Times New Roman"/>
      <w:lang w:val="sq-AL" w:eastAsia="sq-AL"/>
    </w:rPr>
  </w:style>
  <w:style w:type="paragraph" w:styleId="ListParagraph">
    <w:name w:val="List Paragraph"/>
    <w:basedOn w:val="Normal"/>
    <w:link w:val="ListParagraphChar"/>
    <w:uiPriority w:val="34"/>
    <w:qFormat/>
    <w:rsid w:val="00F107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1A526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Szneslista1jellszn1">
    <w:name w:val="Színes lista – 1. jelölőszín1"/>
    <w:basedOn w:val="Normal"/>
    <w:uiPriority w:val="34"/>
    <w:qFormat/>
    <w:rsid w:val="000561CF"/>
    <w:pPr>
      <w:ind w:left="720"/>
    </w:pPr>
    <w:rPr>
      <w:rFonts w:ascii="Calibri" w:eastAsia="Times New Roman" w:hAnsi="Calibri" w:cs="Times New Roman"/>
      <w:lang w:val="sq-AL" w:eastAsia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3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073BA"/>
    <w:rPr>
      <w:lang w:val="en-US"/>
    </w:rPr>
  </w:style>
  <w:style w:type="paragraph" w:styleId="NoSpacing">
    <w:name w:val="No Spacing"/>
    <w:uiPriority w:val="1"/>
    <w:qFormat/>
    <w:rsid w:val="009F1F9E"/>
    <w:pPr>
      <w:spacing w:after="0" w:line="240" w:lineRule="auto"/>
    </w:pPr>
    <w:rPr>
      <w:lang w:val="en-US"/>
    </w:rPr>
  </w:style>
  <w:style w:type="paragraph" w:customStyle="1" w:styleId="Default">
    <w:name w:val="Default"/>
    <w:rsid w:val="00CA3F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0x005EDA4B551176A14FB87C3E5E2D1C9A41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7281/1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EDA4B551176A14FB87C3E5E2D1C9A41" ma:contentTypeVersion="" ma:contentTypeDescription="" ma:contentTypeScope="" ma:versionID="c03cf8f2cf87486891c667d1b2b7ef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F27C1-2396-4381-AEEC-4569150255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D074FA-31EC-4413-9FF9-B2AC80EBC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95D08-6CD1-46D8-98BF-960C0E24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4236</Words>
  <Characters>24151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1.Relacion 28 tetor 2021 per bashkerendim</vt:lpstr>
    </vt:vector>
  </TitlesOfParts>
  <LinksUpToDate>false</LinksUpToDate>
  <CharactersWithSpaces>28331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1.Relacion 28 tetor 2021 per bashkerendim</dc:title>
  <dc:creator/>
  <cp:lastModifiedBy/>
  <cp:revision>1</cp:revision>
  <dcterms:created xsi:type="dcterms:W3CDTF">2021-11-08T13:06:00Z</dcterms:created>
  <dcterms:modified xsi:type="dcterms:W3CDTF">2021-11-08T15:08:00Z</dcterms:modified>
</cp:coreProperties>
</file>